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3CD9C395">
      <w:pPr>
        <w:jc w:val="center"/>
        <w:rPr>
          <w:rFonts w:ascii="宋体" w:hAnsi="宋体" w:eastAsia="宋体"/>
          <w:sz w:val="36"/>
        </w:rPr>
      </w:pPr>
    </w:p>
    <w:p w14:paraId="6319048B">
      <w:pPr>
        <w:jc w:val="center"/>
        <w:rPr>
          <w:rFonts w:ascii="宋体" w:hAnsi="宋体" w:eastAsia="宋体"/>
          <w:sz w:val="36"/>
        </w:rPr>
      </w:pPr>
    </w:p>
    <w:p w14:paraId="0930F47D">
      <w:pPr>
        <w:jc w:val="center"/>
        <w:rPr>
          <w:rFonts w:ascii="宋体" w:hAnsi="宋体" w:eastAsia="宋体"/>
          <w:sz w:val="36"/>
        </w:rPr>
      </w:pPr>
    </w:p>
    <w:p w14:paraId="24D87972">
      <w:pPr>
        <w:jc w:val="center"/>
        <w:rPr>
          <w:rFonts w:hint="eastAsia" w:ascii="宋体" w:hAnsi="宋体" w:eastAsia="宋体"/>
          <w:b/>
          <w:sz w:val="40"/>
          <w:lang w:val="en-US" w:eastAsia="zh-CN"/>
        </w:rPr>
      </w:pPr>
      <w:r>
        <w:rPr>
          <w:rFonts w:hint="eastAsia" w:ascii="宋体" w:hAnsi="宋体" w:eastAsia="宋体"/>
          <w:b/>
          <w:sz w:val="40"/>
          <w:lang w:val="en-US" w:eastAsia="zh-CN"/>
        </w:rPr>
        <w:t>BJ项目</w:t>
      </w:r>
    </w:p>
    <w:p w14:paraId="06818BA7">
      <w:pPr>
        <w:jc w:val="center"/>
        <w:rPr>
          <w:rFonts w:ascii="宋体" w:hAnsi="宋体" w:eastAsia="宋体"/>
          <w:b/>
          <w:sz w:val="40"/>
        </w:rPr>
      </w:pPr>
      <w:bookmarkStart w:id="48" w:name="_GoBack"/>
      <w:bookmarkEnd w:id="48"/>
      <w:r>
        <w:rPr>
          <w:rFonts w:hint="eastAsia" w:ascii="宋体" w:hAnsi="宋体" w:eastAsia="宋体"/>
          <w:b/>
          <w:sz w:val="40"/>
        </w:rPr>
        <w:t xml:space="preserve"> 全厂自控仪表和机械仪表</w:t>
      </w:r>
    </w:p>
    <w:p w14:paraId="32D727D6">
      <w:pPr>
        <w:jc w:val="center"/>
        <w:rPr>
          <w:rFonts w:ascii="宋体" w:hAnsi="宋体" w:eastAsia="宋体"/>
          <w:sz w:val="36"/>
        </w:rPr>
      </w:pPr>
    </w:p>
    <w:p w14:paraId="7EDFA704">
      <w:pPr>
        <w:jc w:val="center"/>
        <w:rPr>
          <w:rFonts w:ascii="宋体" w:hAnsi="宋体" w:eastAsia="宋体"/>
          <w:sz w:val="36"/>
        </w:rPr>
      </w:pPr>
    </w:p>
    <w:p w14:paraId="2BC96A4D">
      <w:pPr>
        <w:jc w:val="center"/>
        <w:rPr>
          <w:rFonts w:ascii="宋体" w:hAnsi="宋体" w:eastAsia="宋体"/>
          <w:sz w:val="36"/>
        </w:rPr>
      </w:pPr>
    </w:p>
    <w:p w14:paraId="4F1F589B">
      <w:pPr>
        <w:jc w:val="center"/>
        <w:rPr>
          <w:rFonts w:ascii="宋体" w:hAnsi="宋体" w:eastAsia="宋体"/>
          <w:b/>
          <w:sz w:val="48"/>
        </w:rPr>
      </w:pPr>
      <w:r>
        <w:rPr>
          <w:rFonts w:hint="eastAsia" w:ascii="宋体" w:hAnsi="宋体" w:eastAsia="宋体"/>
          <w:b/>
          <w:sz w:val="48"/>
        </w:rPr>
        <w:t>招</w:t>
      </w:r>
    </w:p>
    <w:p w14:paraId="6DD4954F">
      <w:pPr>
        <w:jc w:val="center"/>
        <w:rPr>
          <w:rFonts w:ascii="宋体" w:hAnsi="宋体" w:eastAsia="宋体"/>
          <w:b/>
          <w:sz w:val="48"/>
        </w:rPr>
      </w:pPr>
      <w:r>
        <w:rPr>
          <w:rFonts w:hint="eastAsia" w:ascii="宋体" w:hAnsi="宋体" w:eastAsia="宋体"/>
          <w:b/>
          <w:sz w:val="48"/>
        </w:rPr>
        <w:t>标</w:t>
      </w:r>
    </w:p>
    <w:p w14:paraId="0F70E46C">
      <w:pPr>
        <w:jc w:val="center"/>
        <w:rPr>
          <w:rFonts w:ascii="宋体" w:hAnsi="宋体" w:eastAsia="宋体"/>
          <w:b/>
          <w:sz w:val="48"/>
        </w:rPr>
      </w:pPr>
      <w:r>
        <w:rPr>
          <w:rFonts w:hint="eastAsia" w:ascii="宋体" w:hAnsi="宋体" w:eastAsia="宋体"/>
          <w:b/>
          <w:sz w:val="48"/>
        </w:rPr>
        <w:t>技</w:t>
      </w:r>
    </w:p>
    <w:p w14:paraId="78F7CC49">
      <w:pPr>
        <w:jc w:val="center"/>
        <w:rPr>
          <w:rFonts w:ascii="宋体" w:hAnsi="宋体" w:eastAsia="宋体"/>
          <w:b/>
          <w:sz w:val="48"/>
        </w:rPr>
      </w:pPr>
      <w:r>
        <w:rPr>
          <w:rFonts w:hint="eastAsia" w:ascii="宋体" w:hAnsi="宋体" w:eastAsia="宋体"/>
          <w:b/>
          <w:sz w:val="48"/>
        </w:rPr>
        <w:t>术</w:t>
      </w:r>
    </w:p>
    <w:p w14:paraId="5565108B">
      <w:pPr>
        <w:jc w:val="center"/>
        <w:rPr>
          <w:rFonts w:ascii="宋体" w:hAnsi="宋体" w:eastAsia="宋体"/>
          <w:b/>
          <w:sz w:val="48"/>
        </w:rPr>
      </w:pPr>
      <w:r>
        <w:rPr>
          <w:rFonts w:hint="eastAsia" w:ascii="宋体" w:hAnsi="宋体" w:eastAsia="宋体"/>
          <w:b/>
          <w:sz w:val="48"/>
        </w:rPr>
        <w:t>要</w:t>
      </w:r>
    </w:p>
    <w:p w14:paraId="2138806F">
      <w:pPr>
        <w:jc w:val="center"/>
        <w:rPr>
          <w:rFonts w:ascii="宋体" w:hAnsi="宋体" w:eastAsia="宋体"/>
          <w:b/>
          <w:sz w:val="48"/>
        </w:rPr>
      </w:pPr>
      <w:r>
        <w:rPr>
          <w:rFonts w:hint="eastAsia" w:ascii="宋体" w:hAnsi="宋体" w:eastAsia="宋体"/>
          <w:b/>
          <w:sz w:val="48"/>
        </w:rPr>
        <w:t>求</w:t>
      </w:r>
    </w:p>
    <w:p w14:paraId="7281121C">
      <w:pPr>
        <w:jc w:val="center"/>
        <w:rPr>
          <w:rFonts w:ascii="宋体" w:hAnsi="宋体" w:eastAsia="宋体"/>
          <w:b/>
          <w:sz w:val="48"/>
        </w:rPr>
      </w:pPr>
    </w:p>
    <w:p w14:paraId="53ECE50E">
      <w:pPr>
        <w:rPr>
          <w:rFonts w:ascii="宋体" w:hAnsi="宋体" w:eastAsia="宋体"/>
          <w:sz w:val="36"/>
        </w:rPr>
      </w:pPr>
    </w:p>
    <w:p w14:paraId="421C2A25">
      <w:pPr>
        <w:rPr>
          <w:rFonts w:ascii="宋体" w:hAnsi="宋体" w:eastAsia="宋体"/>
          <w:sz w:val="36"/>
        </w:rPr>
      </w:pPr>
    </w:p>
    <w:p w14:paraId="4D89A209">
      <w:pPr>
        <w:rPr>
          <w:rFonts w:ascii="宋体" w:hAnsi="宋体" w:eastAsia="宋体"/>
          <w:sz w:val="36"/>
        </w:rPr>
      </w:pPr>
    </w:p>
    <w:p w14:paraId="00DEB42B">
      <w:pPr>
        <w:jc w:val="center"/>
        <w:rPr>
          <w:rFonts w:hint="eastAsia" w:ascii="宋体" w:hAnsi="宋体" w:eastAsia="宋体"/>
          <w:sz w:val="32"/>
          <w:szCs w:val="24"/>
          <w:lang w:eastAsia="zh-CN"/>
        </w:rPr>
      </w:pPr>
      <w:r>
        <w:rPr>
          <w:rFonts w:hint="eastAsia" w:ascii="宋体" w:hAnsi="宋体" w:eastAsia="宋体"/>
          <w:sz w:val="32"/>
          <w:szCs w:val="24"/>
          <w:lang w:eastAsia="zh-CN"/>
        </w:rPr>
        <w:t>深圳市必尚供应链有限公司</w:t>
      </w:r>
    </w:p>
    <w:p w14:paraId="66E0180E">
      <w:pPr>
        <w:jc w:val="center"/>
        <w:rPr>
          <w:rFonts w:ascii="宋体" w:hAnsi="宋体" w:eastAsia="宋体"/>
          <w:sz w:val="32"/>
          <w:szCs w:val="24"/>
        </w:rPr>
      </w:pPr>
      <w:r>
        <w:rPr>
          <w:rFonts w:ascii="宋体" w:hAnsi="宋体" w:eastAsia="宋体"/>
          <w:sz w:val="32"/>
          <w:szCs w:val="24"/>
        </w:rPr>
        <w:t>2026年3月</w:t>
      </w:r>
    </w:p>
    <w:p w14:paraId="3E07D1D0">
      <w:pPr>
        <w:rPr>
          <w:rFonts w:ascii="宋体" w:hAnsi="宋体" w:eastAsia="宋体"/>
          <w:sz w:val="24"/>
          <w:szCs w:val="24"/>
        </w:rPr>
      </w:pPr>
    </w:p>
    <w:p w14:paraId="6B9E6735">
      <w:pPr>
        <w:spacing w:line="360" w:lineRule="auto"/>
        <w:rPr>
          <w:rFonts w:ascii="宋体" w:hAnsi="宋体" w:eastAsia="宋体"/>
        </w:rPr>
      </w:pPr>
    </w:p>
    <w:p w14:paraId="4B2AFCEC">
      <w:pPr>
        <w:spacing w:line="360" w:lineRule="auto"/>
        <w:rPr>
          <w:rFonts w:ascii="宋体" w:hAnsi="宋体" w:eastAsia="宋体"/>
          <w:sz w:val="24"/>
          <w:szCs w:val="24"/>
        </w:rPr>
      </w:pPr>
    </w:p>
    <w:p w14:paraId="025DD616">
      <w:pPr>
        <w:pStyle w:val="18"/>
        <w:keepNext/>
        <w:keepLines/>
        <w:numPr>
          <w:ilvl w:val="0"/>
          <w:numId w:val="2"/>
        </w:numPr>
        <w:spacing w:line="360" w:lineRule="auto"/>
        <w:ind w:firstLineChars="0"/>
        <w:outlineLvl w:val="0"/>
        <w:rPr>
          <w:rFonts w:ascii="宋体" w:hAnsi="宋体" w:eastAsia="宋体"/>
          <w:b/>
          <w:sz w:val="28"/>
          <w:szCs w:val="24"/>
        </w:rPr>
      </w:pPr>
      <w:bookmarkStart w:id="0" w:name="_Toc138680815"/>
      <w:r>
        <w:rPr>
          <w:rFonts w:hint="eastAsia" w:ascii="宋体" w:hAnsi="宋体" w:eastAsia="宋体"/>
          <w:b/>
          <w:sz w:val="28"/>
          <w:szCs w:val="24"/>
        </w:rPr>
        <w:t>总则</w:t>
      </w:r>
      <w:bookmarkEnd w:id="0"/>
    </w:p>
    <w:p w14:paraId="64EAB320">
      <w:pPr>
        <w:spacing w:line="360" w:lineRule="auto"/>
        <w:ind w:firstLine="480" w:firstLineChars="200"/>
        <w:rPr>
          <w:rFonts w:ascii="宋体" w:hAnsi="宋体" w:eastAsia="宋体"/>
          <w:sz w:val="24"/>
          <w:szCs w:val="24"/>
        </w:rPr>
      </w:pPr>
      <w:r>
        <w:rPr>
          <w:rFonts w:hint="eastAsia" w:ascii="宋体" w:hAnsi="宋体" w:eastAsia="宋体"/>
          <w:sz w:val="24"/>
          <w:szCs w:val="24"/>
        </w:rPr>
        <w:t>本技术文件规定了</w:t>
      </w:r>
      <w:r>
        <w:rPr>
          <w:rFonts w:hint="eastAsia" w:ascii="宋体" w:hAnsi="宋体" w:eastAsia="宋体"/>
          <w:b/>
          <w:sz w:val="24"/>
          <w:szCs w:val="24"/>
          <w:lang w:val="en-US" w:eastAsia="zh-CN"/>
        </w:rPr>
        <w:t>本</w:t>
      </w:r>
      <w:r>
        <w:rPr>
          <w:rFonts w:hint="eastAsia" w:ascii="宋体" w:hAnsi="宋体" w:eastAsia="宋体"/>
          <w:b/>
          <w:sz w:val="24"/>
          <w:szCs w:val="24"/>
        </w:rPr>
        <w:t>项目全厂自控仪表和机械仪表</w:t>
      </w:r>
      <w:r>
        <w:rPr>
          <w:rFonts w:hint="eastAsia" w:ascii="宋体" w:hAnsi="宋体" w:eastAsia="宋体"/>
          <w:sz w:val="24"/>
          <w:szCs w:val="24"/>
        </w:rPr>
        <w:t>的供货范围、工作标准、设计、材料、制造、检验和验收等的最低技术要求，同时必须遵守国家相关法规，符合国家安全、环保、消防、工业卫生等法规要求。</w:t>
      </w:r>
    </w:p>
    <w:p w14:paraId="1AE6C81E">
      <w:pPr>
        <w:spacing w:line="360" w:lineRule="auto"/>
        <w:ind w:firstLine="480" w:firstLineChars="200"/>
        <w:rPr>
          <w:rFonts w:ascii="宋体" w:hAnsi="宋体" w:eastAsia="宋体"/>
          <w:sz w:val="24"/>
          <w:szCs w:val="24"/>
        </w:rPr>
      </w:pPr>
      <w:r>
        <w:rPr>
          <w:rFonts w:hint="eastAsia" w:ascii="宋体" w:hAnsi="宋体" w:eastAsia="宋体"/>
          <w:sz w:val="24"/>
          <w:szCs w:val="24"/>
        </w:rPr>
        <w:t>本技术附件是合同文件之一，商务合同是依据本合同技术附件的相关要求以及供货范围签订的，它与合同具有同样的法律效力，与合同文件一起签订。</w:t>
      </w:r>
    </w:p>
    <w:p w14:paraId="2297EA30">
      <w:pPr>
        <w:pStyle w:val="18"/>
        <w:numPr>
          <w:ilvl w:val="1"/>
          <w:numId w:val="4"/>
        </w:numPr>
        <w:spacing w:line="360" w:lineRule="auto"/>
        <w:ind w:firstLineChars="0"/>
        <w:rPr>
          <w:rFonts w:ascii="宋体" w:hAnsi="宋体" w:eastAsia="宋体"/>
          <w:b/>
          <w:sz w:val="24"/>
          <w:szCs w:val="24"/>
        </w:rPr>
      </w:pPr>
      <w:r>
        <w:rPr>
          <w:rFonts w:ascii="宋体" w:hAnsi="宋体" w:eastAsia="宋体"/>
          <w:b/>
          <w:sz w:val="24"/>
          <w:szCs w:val="24"/>
        </w:rPr>
        <w:t>设计标准及规范</w:t>
      </w:r>
    </w:p>
    <w:p w14:paraId="38FFEB43">
      <w:pPr>
        <w:pStyle w:val="18"/>
        <w:numPr>
          <w:ilvl w:val="2"/>
          <w:numId w:val="4"/>
        </w:numPr>
        <w:spacing w:line="360" w:lineRule="auto"/>
        <w:ind w:firstLineChars="0"/>
        <w:rPr>
          <w:rFonts w:ascii="宋体" w:hAnsi="宋体" w:eastAsia="宋体"/>
          <w:sz w:val="24"/>
          <w:szCs w:val="24"/>
        </w:rPr>
      </w:pPr>
      <w:r>
        <w:rPr>
          <w:rFonts w:ascii="宋体" w:hAnsi="宋体" w:eastAsia="宋体"/>
          <w:sz w:val="24"/>
          <w:szCs w:val="24"/>
        </w:rPr>
        <w:t>所提供的产品的设计、制造、检验、试验等应符合国际标准化组织及国际电气技术委员会已颁发的有关标准，</w:t>
      </w:r>
      <w:r>
        <w:rPr>
          <w:rFonts w:hint="eastAsia" w:ascii="宋体" w:hAnsi="宋体" w:eastAsia="宋体"/>
          <w:sz w:val="24"/>
          <w:szCs w:val="24"/>
        </w:rPr>
        <w:t>结合</w:t>
      </w:r>
      <w:r>
        <w:rPr>
          <w:rFonts w:ascii="宋体" w:hAnsi="宋体" w:eastAsia="宋体"/>
          <w:sz w:val="24"/>
          <w:szCs w:val="24"/>
        </w:rPr>
        <w:t>工程经验采用国际标准、国家标准或行业标准以及有关的法规要求。</w:t>
      </w:r>
    </w:p>
    <w:p w14:paraId="4CF1292E">
      <w:pPr>
        <w:pStyle w:val="18"/>
        <w:numPr>
          <w:ilvl w:val="2"/>
          <w:numId w:val="4"/>
        </w:numPr>
        <w:spacing w:line="360" w:lineRule="auto"/>
        <w:ind w:firstLineChars="0"/>
        <w:rPr>
          <w:rFonts w:ascii="宋体" w:hAnsi="宋体" w:eastAsia="宋体"/>
          <w:sz w:val="24"/>
          <w:szCs w:val="24"/>
        </w:rPr>
      </w:pPr>
      <w:r>
        <w:rPr>
          <w:rFonts w:ascii="宋体" w:hAnsi="宋体" w:eastAsia="宋体"/>
          <w:sz w:val="24"/>
          <w:szCs w:val="24"/>
        </w:rPr>
        <w:t>本系统设计必须遵守以下标准（但不限于）</w:t>
      </w:r>
      <w:r>
        <w:rPr>
          <w:rFonts w:hint="eastAsia" w:ascii="宋体" w:hAnsi="宋体" w:eastAsia="宋体"/>
          <w:sz w:val="24"/>
          <w:szCs w:val="24"/>
        </w:rPr>
        <w:t>，所有引用标准均应采用最新版本；</w:t>
      </w:r>
    </w:p>
    <w:p w14:paraId="69BBB9EE">
      <w:pPr>
        <w:pStyle w:val="18"/>
        <w:numPr>
          <w:ilvl w:val="0"/>
          <w:numId w:val="5"/>
        </w:numPr>
        <w:spacing w:line="360" w:lineRule="auto"/>
        <w:ind w:left="0" w:firstLine="480"/>
        <w:rPr>
          <w:rFonts w:ascii="宋体" w:hAnsi="宋体" w:eastAsia="宋体"/>
          <w:sz w:val="24"/>
          <w:szCs w:val="24"/>
        </w:rPr>
      </w:pPr>
      <w:r>
        <w:rPr>
          <w:rFonts w:ascii="宋体" w:hAnsi="宋体" w:eastAsia="宋体"/>
          <w:sz w:val="24"/>
          <w:szCs w:val="24"/>
        </w:rPr>
        <w:t>中国国家标准</w:t>
      </w:r>
    </w:p>
    <w:p w14:paraId="61D8C523">
      <w:pPr>
        <w:pStyle w:val="18"/>
        <w:numPr>
          <w:ilvl w:val="0"/>
          <w:numId w:val="5"/>
        </w:numPr>
        <w:spacing w:line="360" w:lineRule="auto"/>
        <w:ind w:left="0" w:firstLine="480"/>
        <w:rPr>
          <w:rFonts w:ascii="宋体" w:hAnsi="宋体" w:eastAsia="宋体"/>
          <w:sz w:val="24"/>
          <w:szCs w:val="24"/>
        </w:rPr>
      </w:pPr>
      <w:r>
        <w:rPr>
          <w:rFonts w:ascii="宋体" w:hAnsi="宋体" w:eastAsia="宋体"/>
          <w:sz w:val="24"/>
          <w:szCs w:val="24"/>
        </w:rPr>
        <w:t>其它认可的中国标准</w:t>
      </w:r>
    </w:p>
    <w:p w14:paraId="540FBC36">
      <w:pPr>
        <w:pStyle w:val="18"/>
        <w:numPr>
          <w:ilvl w:val="0"/>
          <w:numId w:val="5"/>
        </w:numPr>
        <w:spacing w:line="360" w:lineRule="auto"/>
        <w:ind w:left="0" w:firstLine="480"/>
        <w:rPr>
          <w:rFonts w:ascii="宋体" w:hAnsi="宋体" w:eastAsia="宋体"/>
          <w:sz w:val="24"/>
          <w:szCs w:val="24"/>
        </w:rPr>
      </w:pPr>
      <w:r>
        <w:rPr>
          <w:rFonts w:ascii="宋体" w:hAnsi="宋体" w:eastAsia="宋体"/>
          <w:sz w:val="24"/>
          <w:szCs w:val="24"/>
        </w:rPr>
        <w:t>国际标准化组织标准</w:t>
      </w:r>
    </w:p>
    <w:p w14:paraId="7AB43E0D">
      <w:pPr>
        <w:pStyle w:val="18"/>
        <w:numPr>
          <w:ilvl w:val="0"/>
          <w:numId w:val="5"/>
        </w:numPr>
        <w:spacing w:line="360" w:lineRule="auto"/>
        <w:ind w:left="0" w:firstLine="480"/>
        <w:rPr>
          <w:rFonts w:ascii="宋体" w:hAnsi="宋体" w:eastAsia="宋体"/>
          <w:sz w:val="24"/>
          <w:szCs w:val="24"/>
        </w:rPr>
      </w:pPr>
      <w:r>
        <w:rPr>
          <w:rFonts w:ascii="宋体" w:hAnsi="宋体" w:eastAsia="宋体"/>
          <w:sz w:val="24"/>
          <w:szCs w:val="24"/>
        </w:rPr>
        <w:t>国际电工技术委员会标准</w:t>
      </w:r>
    </w:p>
    <w:p w14:paraId="6FBD8223">
      <w:pPr>
        <w:pStyle w:val="18"/>
        <w:numPr>
          <w:ilvl w:val="0"/>
          <w:numId w:val="5"/>
        </w:numPr>
        <w:spacing w:line="360" w:lineRule="auto"/>
        <w:ind w:left="0" w:firstLine="480"/>
        <w:rPr>
          <w:rFonts w:ascii="宋体" w:hAnsi="宋体" w:eastAsia="宋体"/>
          <w:sz w:val="24"/>
          <w:szCs w:val="24"/>
        </w:rPr>
      </w:pPr>
      <w:r>
        <w:rPr>
          <w:rFonts w:ascii="宋体" w:hAnsi="宋体" w:eastAsia="宋体"/>
          <w:sz w:val="24"/>
          <w:szCs w:val="24"/>
        </w:rPr>
        <w:t>其它国家的权威标准</w:t>
      </w:r>
    </w:p>
    <w:p w14:paraId="54367E03">
      <w:pPr>
        <w:pStyle w:val="18"/>
        <w:numPr>
          <w:ilvl w:val="2"/>
          <w:numId w:val="4"/>
        </w:numPr>
        <w:spacing w:line="360" w:lineRule="auto"/>
        <w:ind w:firstLineChars="0"/>
        <w:rPr>
          <w:rFonts w:ascii="宋体" w:hAnsi="宋体" w:eastAsia="宋体"/>
          <w:b/>
          <w:sz w:val="24"/>
          <w:szCs w:val="24"/>
        </w:rPr>
      </w:pPr>
      <w:r>
        <w:rPr>
          <w:rFonts w:hint="eastAsia" w:ascii="宋体" w:hAnsi="宋体" w:eastAsia="宋体"/>
          <w:b/>
          <w:sz w:val="24"/>
          <w:szCs w:val="24"/>
        </w:rPr>
        <w:t>标准规范缩写</w:t>
      </w:r>
    </w:p>
    <w:tbl>
      <w:tblPr>
        <w:tblStyle w:val="12"/>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555"/>
        <w:gridCol w:w="2976"/>
        <w:gridCol w:w="1418"/>
        <w:gridCol w:w="2347"/>
      </w:tblGrid>
      <w:tr w14:paraId="711B17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55" w:type="dxa"/>
            <w:vAlign w:val="center"/>
          </w:tcPr>
          <w:p w14:paraId="498D1853">
            <w:pPr>
              <w:spacing w:line="360" w:lineRule="auto"/>
              <w:jc w:val="center"/>
              <w:rPr>
                <w:rFonts w:ascii="宋体" w:hAnsi="宋体" w:eastAsia="宋体"/>
                <w:b/>
              </w:rPr>
            </w:pPr>
            <w:r>
              <w:rPr>
                <w:rFonts w:hint="eastAsia" w:ascii="宋体" w:hAnsi="宋体" w:eastAsia="宋体"/>
                <w:b/>
              </w:rPr>
              <w:t>标准代码</w:t>
            </w:r>
          </w:p>
        </w:tc>
        <w:tc>
          <w:tcPr>
            <w:tcW w:w="2976" w:type="dxa"/>
            <w:vAlign w:val="center"/>
          </w:tcPr>
          <w:p w14:paraId="44EAFCD2">
            <w:pPr>
              <w:spacing w:line="360" w:lineRule="auto"/>
              <w:jc w:val="center"/>
              <w:rPr>
                <w:rFonts w:ascii="宋体" w:hAnsi="宋体" w:eastAsia="宋体"/>
                <w:b/>
              </w:rPr>
            </w:pPr>
            <w:r>
              <w:rPr>
                <w:rFonts w:ascii="宋体" w:hAnsi="宋体" w:eastAsia="宋体"/>
                <w:b/>
              </w:rPr>
              <w:t>标准名称</w:t>
            </w:r>
          </w:p>
        </w:tc>
        <w:tc>
          <w:tcPr>
            <w:tcW w:w="1418" w:type="dxa"/>
            <w:vAlign w:val="center"/>
          </w:tcPr>
          <w:p w14:paraId="05F1E7DF">
            <w:pPr>
              <w:spacing w:line="360" w:lineRule="auto"/>
              <w:jc w:val="center"/>
              <w:rPr>
                <w:rFonts w:ascii="宋体" w:hAnsi="宋体" w:eastAsia="宋体"/>
                <w:b/>
              </w:rPr>
            </w:pPr>
            <w:r>
              <w:rPr>
                <w:rFonts w:ascii="宋体" w:hAnsi="宋体" w:eastAsia="宋体"/>
                <w:b/>
              </w:rPr>
              <w:t>标准代码</w:t>
            </w:r>
          </w:p>
        </w:tc>
        <w:tc>
          <w:tcPr>
            <w:tcW w:w="2347" w:type="dxa"/>
            <w:vAlign w:val="center"/>
          </w:tcPr>
          <w:p w14:paraId="2C5918D9">
            <w:pPr>
              <w:spacing w:line="360" w:lineRule="auto"/>
              <w:jc w:val="center"/>
              <w:rPr>
                <w:rFonts w:ascii="宋体" w:hAnsi="宋体" w:eastAsia="宋体"/>
                <w:b/>
              </w:rPr>
            </w:pPr>
            <w:r>
              <w:rPr>
                <w:rFonts w:ascii="宋体" w:hAnsi="宋体" w:eastAsia="宋体"/>
                <w:b/>
              </w:rPr>
              <w:t>标准名称</w:t>
            </w:r>
          </w:p>
        </w:tc>
      </w:tr>
      <w:tr w14:paraId="786205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55" w:type="dxa"/>
            <w:vAlign w:val="center"/>
          </w:tcPr>
          <w:p w14:paraId="3764149B">
            <w:pPr>
              <w:spacing w:line="360" w:lineRule="auto"/>
              <w:jc w:val="center"/>
              <w:rPr>
                <w:rFonts w:ascii="宋体" w:hAnsi="宋体" w:eastAsia="宋体"/>
              </w:rPr>
            </w:pPr>
            <w:r>
              <w:rPr>
                <w:rFonts w:ascii="宋体" w:hAnsi="宋体" w:eastAsia="宋体"/>
              </w:rPr>
              <w:t>ISO</w:t>
            </w:r>
          </w:p>
        </w:tc>
        <w:tc>
          <w:tcPr>
            <w:tcW w:w="2976" w:type="dxa"/>
            <w:vAlign w:val="center"/>
          </w:tcPr>
          <w:p w14:paraId="15774CC3">
            <w:pPr>
              <w:spacing w:line="360" w:lineRule="auto"/>
              <w:jc w:val="center"/>
              <w:rPr>
                <w:rFonts w:ascii="宋体" w:hAnsi="宋体" w:eastAsia="宋体"/>
              </w:rPr>
            </w:pPr>
            <w:r>
              <w:rPr>
                <w:rFonts w:ascii="宋体" w:hAnsi="宋体" w:eastAsia="宋体"/>
              </w:rPr>
              <w:t>国际组织标准</w:t>
            </w:r>
          </w:p>
        </w:tc>
        <w:tc>
          <w:tcPr>
            <w:tcW w:w="1418" w:type="dxa"/>
            <w:vAlign w:val="center"/>
          </w:tcPr>
          <w:p w14:paraId="1CC88F23">
            <w:pPr>
              <w:spacing w:line="360" w:lineRule="auto"/>
              <w:jc w:val="center"/>
              <w:rPr>
                <w:rFonts w:ascii="宋体" w:hAnsi="宋体" w:eastAsia="宋体"/>
              </w:rPr>
            </w:pPr>
            <w:r>
              <w:rPr>
                <w:rFonts w:ascii="宋体" w:hAnsi="宋体" w:eastAsia="宋体"/>
              </w:rPr>
              <w:t>GB</w:t>
            </w:r>
          </w:p>
        </w:tc>
        <w:tc>
          <w:tcPr>
            <w:tcW w:w="2347" w:type="dxa"/>
            <w:vAlign w:val="center"/>
          </w:tcPr>
          <w:p w14:paraId="5527F154">
            <w:pPr>
              <w:spacing w:line="360" w:lineRule="auto"/>
              <w:jc w:val="center"/>
              <w:rPr>
                <w:rFonts w:ascii="宋体" w:hAnsi="宋体" w:eastAsia="宋体"/>
              </w:rPr>
            </w:pPr>
            <w:r>
              <w:rPr>
                <w:rFonts w:ascii="宋体" w:hAnsi="宋体" w:eastAsia="宋体"/>
              </w:rPr>
              <w:t>中国国家标准</w:t>
            </w:r>
          </w:p>
        </w:tc>
      </w:tr>
      <w:tr w14:paraId="6BD8E2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55" w:type="dxa"/>
            <w:vAlign w:val="center"/>
          </w:tcPr>
          <w:p w14:paraId="637AAFA2">
            <w:pPr>
              <w:spacing w:line="360" w:lineRule="auto"/>
              <w:jc w:val="center"/>
              <w:rPr>
                <w:rFonts w:ascii="宋体" w:hAnsi="宋体" w:eastAsia="宋体"/>
              </w:rPr>
            </w:pPr>
            <w:r>
              <w:rPr>
                <w:rFonts w:ascii="宋体" w:hAnsi="宋体" w:eastAsia="宋体"/>
              </w:rPr>
              <w:t>ANSI</w:t>
            </w:r>
          </w:p>
        </w:tc>
        <w:tc>
          <w:tcPr>
            <w:tcW w:w="2976" w:type="dxa"/>
            <w:vAlign w:val="center"/>
          </w:tcPr>
          <w:p w14:paraId="74B0BE7A">
            <w:pPr>
              <w:spacing w:line="360" w:lineRule="auto"/>
              <w:jc w:val="center"/>
              <w:rPr>
                <w:rFonts w:ascii="宋体" w:hAnsi="宋体" w:eastAsia="宋体"/>
              </w:rPr>
            </w:pPr>
            <w:r>
              <w:rPr>
                <w:rFonts w:ascii="宋体" w:hAnsi="宋体" w:eastAsia="宋体"/>
              </w:rPr>
              <w:t>美国国家标准协会</w:t>
            </w:r>
          </w:p>
        </w:tc>
        <w:tc>
          <w:tcPr>
            <w:tcW w:w="1418" w:type="dxa"/>
            <w:vAlign w:val="center"/>
          </w:tcPr>
          <w:p w14:paraId="3B884C5A">
            <w:pPr>
              <w:spacing w:line="360" w:lineRule="auto"/>
              <w:jc w:val="center"/>
              <w:rPr>
                <w:rFonts w:ascii="宋体" w:hAnsi="宋体" w:eastAsia="宋体"/>
              </w:rPr>
            </w:pPr>
            <w:r>
              <w:rPr>
                <w:rFonts w:ascii="宋体" w:hAnsi="宋体" w:eastAsia="宋体"/>
              </w:rPr>
              <w:t>DIN</w:t>
            </w:r>
          </w:p>
        </w:tc>
        <w:tc>
          <w:tcPr>
            <w:tcW w:w="2347" w:type="dxa"/>
            <w:vAlign w:val="center"/>
          </w:tcPr>
          <w:p w14:paraId="76E5E040">
            <w:pPr>
              <w:spacing w:line="360" w:lineRule="auto"/>
              <w:jc w:val="center"/>
              <w:rPr>
                <w:rFonts w:ascii="宋体" w:hAnsi="宋体" w:eastAsia="宋体"/>
              </w:rPr>
            </w:pPr>
            <w:r>
              <w:rPr>
                <w:rFonts w:ascii="宋体" w:hAnsi="宋体" w:eastAsia="宋体"/>
              </w:rPr>
              <w:t>德国工业标准</w:t>
            </w:r>
          </w:p>
        </w:tc>
      </w:tr>
      <w:tr w14:paraId="79942A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55" w:type="dxa"/>
            <w:vAlign w:val="center"/>
          </w:tcPr>
          <w:p w14:paraId="7A893244">
            <w:pPr>
              <w:spacing w:line="360" w:lineRule="auto"/>
              <w:jc w:val="center"/>
              <w:rPr>
                <w:rFonts w:ascii="宋体" w:hAnsi="宋体" w:eastAsia="宋体"/>
              </w:rPr>
            </w:pPr>
            <w:r>
              <w:rPr>
                <w:rFonts w:ascii="宋体" w:hAnsi="宋体" w:eastAsia="宋体"/>
              </w:rPr>
              <w:t>BS</w:t>
            </w:r>
          </w:p>
        </w:tc>
        <w:tc>
          <w:tcPr>
            <w:tcW w:w="2976" w:type="dxa"/>
            <w:vAlign w:val="center"/>
          </w:tcPr>
          <w:p w14:paraId="7C5A4E9D">
            <w:pPr>
              <w:spacing w:line="360" w:lineRule="auto"/>
              <w:jc w:val="center"/>
              <w:rPr>
                <w:rFonts w:ascii="宋体" w:hAnsi="宋体" w:eastAsia="宋体"/>
              </w:rPr>
            </w:pPr>
            <w:r>
              <w:rPr>
                <w:rFonts w:ascii="宋体" w:hAnsi="宋体" w:eastAsia="宋体"/>
              </w:rPr>
              <w:t>英国国家标准协会</w:t>
            </w:r>
          </w:p>
        </w:tc>
        <w:tc>
          <w:tcPr>
            <w:tcW w:w="1418" w:type="dxa"/>
            <w:vAlign w:val="center"/>
          </w:tcPr>
          <w:p w14:paraId="2F86DD3D">
            <w:pPr>
              <w:spacing w:line="360" w:lineRule="auto"/>
              <w:jc w:val="center"/>
              <w:rPr>
                <w:rFonts w:ascii="宋体" w:hAnsi="宋体" w:eastAsia="宋体"/>
              </w:rPr>
            </w:pPr>
            <w:r>
              <w:rPr>
                <w:rFonts w:ascii="宋体" w:hAnsi="宋体" w:eastAsia="宋体"/>
              </w:rPr>
              <w:t>JIS</w:t>
            </w:r>
          </w:p>
        </w:tc>
        <w:tc>
          <w:tcPr>
            <w:tcW w:w="2347" w:type="dxa"/>
            <w:vAlign w:val="center"/>
          </w:tcPr>
          <w:p w14:paraId="63E23EE8">
            <w:pPr>
              <w:spacing w:line="360" w:lineRule="auto"/>
              <w:jc w:val="center"/>
              <w:rPr>
                <w:rFonts w:ascii="宋体" w:hAnsi="宋体" w:eastAsia="宋体"/>
              </w:rPr>
            </w:pPr>
            <w:r>
              <w:rPr>
                <w:rFonts w:ascii="宋体" w:hAnsi="宋体" w:eastAsia="宋体"/>
              </w:rPr>
              <w:t>日本工业标准</w:t>
            </w:r>
          </w:p>
        </w:tc>
      </w:tr>
      <w:tr w14:paraId="402736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55" w:type="dxa"/>
            <w:vAlign w:val="center"/>
          </w:tcPr>
          <w:p w14:paraId="44349FAF">
            <w:pPr>
              <w:spacing w:line="360" w:lineRule="auto"/>
              <w:jc w:val="center"/>
              <w:rPr>
                <w:rFonts w:ascii="宋体" w:hAnsi="宋体" w:eastAsia="宋体"/>
              </w:rPr>
            </w:pPr>
            <w:r>
              <w:rPr>
                <w:rFonts w:ascii="宋体" w:hAnsi="宋体" w:eastAsia="宋体"/>
              </w:rPr>
              <w:t>IEC</w:t>
            </w:r>
          </w:p>
        </w:tc>
        <w:tc>
          <w:tcPr>
            <w:tcW w:w="2976" w:type="dxa"/>
            <w:vAlign w:val="center"/>
          </w:tcPr>
          <w:p w14:paraId="31DEC8C7">
            <w:pPr>
              <w:spacing w:line="360" w:lineRule="auto"/>
              <w:jc w:val="center"/>
              <w:rPr>
                <w:rFonts w:ascii="宋体" w:hAnsi="宋体" w:eastAsia="宋体"/>
              </w:rPr>
            </w:pPr>
            <w:r>
              <w:rPr>
                <w:rFonts w:ascii="宋体" w:hAnsi="宋体" w:eastAsia="宋体"/>
              </w:rPr>
              <w:t>国际电工技术委员会标准</w:t>
            </w:r>
          </w:p>
        </w:tc>
        <w:tc>
          <w:tcPr>
            <w:tcW w:w="1418" w:type="dxa"/>
            <w:vAlign w:val="center"/>
          </w:tcPr>
          <w:p w14:paraId="4AC949B7">
            <w:pPr>
              <w:spacing w:line="360" w:lineRule="auto"/>
              <w:jc w:val="center"/>
              <w:rPr>
                <w:rFonts w:ascii="宋体" w:hAnsi="宋体" w:eastAsia="宋体"/>
              </w:rPr>
            </w:pPr>
            <w:r>
              <w:rPr>
                <w:rFonts w:ascii="宋体" w:hAnsi="宋体" w:eastAsia="宋体"/>
              </w:rPr>
              <w:t>DL</w:t>
            </w:r>
          </w:p>
        </w:tc>
        <w:tc>
          <w:tcPr>
            <w:tcW w:w="2347" w:type="dxa"/>
            <w:vAlign w:val="center"/>
          </w:tcPr>
          <w:p w14:paraId="271DE000">
            <w:pPr>
              <w:spacing w:line="360" w:lineRule="auto"/>
              <w:jc w:val="center"/>
              <w:rPr>
                <w:rFonts w:ascii="宋体" w:hAnsi="宋体" w:eastAsia="宋体"/>
              </w:rPr>
            </w:pPr>
            <w:r>
              <w:rPr>
                <w:rFonts w:ascii="宋体" w:hAnsi="宋体" w:eastAsia="宋体"/>
              </w:rPr>
              <w:t>电力行业系列标准</w:t>
            </w:r>
          </w:p>
        </w:tc>
      </w:tr>
    </w:tbl>
    <w:p w14:paraId="3B6CE415">
      <w:pPr>
        <w:pStyle w:val="18"/>
        <w:numPr>
          <w:ilvl w:val="2"/>
          <w:numId w:val="4"/>
        </w:numPr>
        <w:spacing w:line="360" w:lineRule="auto"/>
        <w:ind w:firstLineChars="0"/>
        <w:rPr>
          <w:rFonts w:ascii="宋体" w:hAnsi="宋体" w:eastAsia="宋体"/>
          <w:b/>
          <w:sz w:val="24"/>
          <w:szCs w:val="24"/>
        </w:rPr>
      </w:pPr>
      <w:r>
        <w:rPr>
          <w:rFonts w:hint="eastAsia" w:ascii="宋体" w:hAnsi="宋体" w:eastAsia="宋体"/>
          <w:b/>
          <w:sz w:val="24"/>
          <w:szCs w:val="24"/>
        </w:rPr>
        <w:t>执行标准</w:t>
      </w:r>
    </w:p>
    <w:p w14:paraId="5B76BC2A">
      <w:pPr>
        <w:spacing w:line="360" w:lineRule="auto"/>
        <w:ind w:firstLine="480" w:firstLineChars="200"/>
        <w:rPr>
          <w:rFonts w:ascii="宋体" w:hAnsi="宋体" w:eastAsia="宋体"/>
          <w:sz w:val="24"/>
          <w:szCs w:val="24"/>
        </w:rPr>
      </w:pPr>
      <w:r>
        <w:rPr>
          <w:rFonts w:hint="eastAsia" w:ascii="宋体" w:hAnsi="宋体" w:eastAsia="宋体"/>
          <w:sz w:val="24"/>
          <w:szCs w:val="24"/>
        </w:rPr>
        <w:t>投标方所采用的标准应至少不低于以下标准：</w:t>
      </w:r>
    </w:p>
    <w:p w14:paraId="751D7C7C">
      <w:pPr>
        <w:pStyle w:val="18"/>
        <w:numPr>
          <w:ilvl w:val="0"/>
          <w:numId w:val="6"/>
        </w:numPr>
        <w:spacing w:line="360" w:lineRule="auto"/>
        <w:ind w:left="0" w:firstLine="480"/>
        <w:rPr>
          <w:rFonts w:ascii="宋体" w:hAnsi="宋体" w:eastAsia="宋体"/>
          <w:sz w:val="24"/>
          <w:szCs w:val="24"/>
        </w:rPr>
      </w:pPr>
      <w:r>
        <w:rPr>
          <w:rFonts w:ascii="宋体" w:hAnsi="宋体" w:eastAsia="宋体"/>
          <w:sz w:val="24"/>
          <w:szCs w:val="24"/>
        </w:rPr>
        <w:t>GB 50343-2012       《</w:t>
      </w:r>
      <w:r>
        <w:rPr>
          <w:rFonts w:hint="eastAsia" w:ascii="宋体" w:hAnsi="宋体" w:eastAsia="宋体"/>
          <w:sz w:val="24"/>
          <w:szCs w:val="24"/>
        </w:rPr>
        <w:t>建筑物电子信息系统防雷技术规范</w:t>
      </w:r>
      <w:r>
        <w:rPr>
          <w:rFonts w:ascii="宋体" w:hAnsi="宋体" w:eastAsia="宋体"/>
          <w:sz w:val="24"/>
          <w:szCs w:val="24"/>
        </w:rPr>
        <w:t>》</w:t>
      </w:r>
    </w:p>
    <w:p w14:paraId="073D8A1A">
      <w:pPr>
        <w:pStyle w:val="18"/>
        <w:numPr>
          <w:ilvl w:val="0"/>
          <w:numId w:val="6"/>
        </w:numPr>
        <w:spacing w:line="360" w:lineRule="auto"/>
        <w:ind w:left="0" w:firstLine="480"/>
        <w:rPr>
          <w:rFonts w:ascii="宋体" w:hAnsi="宋体" w:eastAsia="宋体"/>
          <w:sz w:val="24"/>
          <w:szCs w:val="24"/>
        </w:rPr>
      </w:pPr>
      <w:r>
        <w:rPr>
          <w:rFonts w:ascii="宋体" w:hAnsi="宋体" w:eastAsia="宋体"/>
          <w:sz w:val="24"/>
          <w:szCs w:val="24"/>
        </w:rPr>
        <w:t>GB/T 18268-2010     《</w:t>
      </w:r>
      <w:r>
        <w:rPr>
          <w:rFonts w:hint="eastAsia" w:ascii="宋体" w:hAnsi="宋体" w:eastAsia="宋体"/>
          <w:sz w:val="24"/>
          <w:szCs w:val="24"/>
        </w:rPr>
        <w:t>测量、控制和实验室用的电设备 电磁兼容性要求</w:t>
      </w:r>
      <w:r>
        <w:rPr>
          <w:rFonts w:ascii="宋体" w:hAnsi="宋体" w:eastAsia="宋体"/>
          <w:sz w:val="24"/>
          <w:szCs w:val="24"/>
        </w:rPr>
        <w:t>》</w:t>
      </w:r>
    </w:p>
    <w:p w14:paraId="5EE7AE08">
      <w:pPr>
        <w:pStyle w:val="18"/>
        <w:numPr>
          <w:ilvl w:val="0"/>
          <w:numId w:val="6"/>
        </w:numPr>
        <w:spacing w:line="360" w:lineRule="auto"/>
        <w:ind w:left="0" w:firstLine="480"/>
        <w:rPr>
          <w:rFonts w:ascii="宋体" w:hAnsi="宋体" w:eastAsia="宋体"/>
          <w:sz w:val="24"/>
          <w:szCs w:val="24"/>
        </w:rPr>
      </w:pPr>
      <w:r>
        <w:rPr>
          <w:rFonts w:ascii="宋体" w:hAnsi="宋体" w:eastAsia="宋体"/>
          <w:sz w:val="24"/>
          <w:szCs w:val="24"/>
        </w:rPr>
        <w:t>GB 50395-2007       《</w:t>
      </w:r>
      <w:r>
        <w:rPr>
          <w:rFonts w:hint="eastAsia" w:ascii="宋体" w:hAnsi="宋体" w:eastAsia="宋体"/>
          <w:sz w:val="24"/>
          <w:szCs w:val="24"/>
        </w:rPr>
        <w:t>视频安防监控系统工程设计规范</w:t>
      </w:r>
      <w:r>
        <w:rPr>
          <w:rFonts w:ascii="宋体" w:hAnsi="宋体" w:eastAsia="宋体"/>
          <w:sz w:val="24"/>
          <w:szCs w:val="24"/>
        </w:rPr>
        <w:t>》</w:t>
      </w:r>
    </w:p>
    <w:p w14:paraId="790C57A6">
      <w:pPr>
        <w:pStyle w:val="18"/>
        <w:numPr>
          <w:ilvl w:val="0"/>
          <w:numId w:val="6"/>
        </w:numPr>
        <w:spacing w:line="360" w:lineRule="auto"/>
        <w:ind w:left="0" w:firstLine="480"/>
        <w:rPr>
          <w:rFonts w:ascii="宋体" w:hAnsi="宋体" w:eastAsia="宋体"/>
          <w:sz w:val="24"/>
          <w:szCs w:val="24"/>
        </w:rPr>
      </w:pPr>
      <w:r>
        <w:rPr>
          <w:rFonts w:ascii="宋体" w:hAnsi="宋体" w:eastAsia="宋体"/>
          <w:sz w:val="24"/>
          <w:szCs w:val="24"/>
        </w:rPr>
        <w:t>GB/T 50115-2019     《</w:t>
      </w:r>
      <w:r>
        <w:rPr>
          <w:rFonts w:hint="eastAsia" w:ascii="宋体" w:hAnsi="宋体" w:eastAsia="宋体"/>
          <w:sz w:val="24"/>
          <w:szCs w:val="24"/>
        </w:rPr>
        <w:t>工业电视系统工程设计标准</w:t>
      </w:r>
      <w:r>
        <w:rPr>
          <w:rFonts w:ascii="宋体" w:hAnsi="宋体" w:eastAsia="宋体"/>
          <w:sz w:val="24"/>
          <w:szCs w:val="24"/>
        </w:rPr>
        <w:t>》</w:t>
      </w:r>
    </w:p>
    <w:p w14:paraId="698B66F9">
      <w:pPr>
        <w:pStyle w:val="18"/>
        <w:numPr>
          <w:ilvl w:val="0"/>
          <w:numId w:val="6"/>
        </w:numPr>
        <w:spacing w:line="360" w:lineRule="auto"/>
        <w:ind w:left="0" w:firstLine="480"/>
        <w:rPr>
          <w:rFonts w:ascii="宋体" w:hAnsi="宋体" w:eastAsia="宋体"/>
          <w:sz w:val="24"/>
          <w:szCs w:val="24"/>
        </w:rPr>
      </w:pPr>
      <w:r>
        <w:rPr>
          <w:rFonts w:ascii="宋体" w:hAnsi="宋体" w:eastAsia="宋体"/>
          <w:sz w:val="24"/>
          <w:szCs w:val="24"/>
        </w:rPr>
        <w:t>GB 50348-2018       《</w:t>
      </w:r>
      <w:r>
        <w:rPr>
          <w:rFonts w:hint="eastAsia" w:ascii="宋体" w:hAnsi="宋体" w:eastAsia="宋体"/>
          <w:sz w:val="24"/>
          <w:szCs w:val="24"/>
        </w:rPr>
        <w:t>安全防范工程技术标准</w:t>
      </w:r>
      <w:r>
        <w:rPr>
          <w:rFonts w:ascii="宋体" w:hAnsi="宋体" w:eastAsia="宋体"/>
          <w:sz w:val="24"/>
          <w:szCs w:val="24"/>
        </w:rPr>
        <w:t>》</w:t>
      </w:r>
    </w:p>
    <w:p w14:paraId="23FA5F69">
      <w:pPr>
        <w:pStyle w:val="18"/>
        <w:numPr>
          <w:ilvl w:val="0"/>
          <w:numId w:val="6"/>
        </w:numPr>
        <w:spacing w:line="360" w:lineRule="auto"/>
        <w:ind w:left="0" w:firstLine="480"/>
        <w:rPr>
          <w:rFonts w:ascii="宋体" w:hAnsi="宋体" w:eastAsia="宋体"/>
          <w:sz w:val="24"/>
          <w:szCs w:val="24"/>
        </w:rPr>
      </w:pPr>
      <w:r>
        <w:rPr>
          <w:rFonts w:ascii="宋体" w:hAnsi="宋体" w:eastAsia="宋体"/>
          <w:sz w:val="24"/>
          <w:szCs w:val="24"/>
        </w:rPr>
        <w:t>GB/T 4208-2017      《</w:t>
      </w:r>
      <w:r>
        <w:rPr>
          <w:rFonts w:hint="eastAsia" w:ascii="宋体" w:hAnsi="宋体" w:eastAsia="宋体"/>
          <w:sz w:val="24"/>
          <w:szCs w:val="24"/>
        </w:rPr>
        <w:t>外壳防护等级（</w:t>
      </w:r>
      <w:r>
        <w:rPr>
          <w:rFonts w:ascii="宋体" w:hAnsi="宋体" w:eastAsia="宋体"/>
          <w:sz w:val="24"/>
          <w:szCs w:val="24"/>
        </w:rPr>
        <w:t>IP代码）》</w:t>
      </w:r>
    </w:p>
    <w:p w14:paraId="572B09C6">
      <w:pPr>
        <w:pStyle w:val="18"/>
        <w:numPr>
          <w:ilvl w:val="0"/>
          <w:numId w:val="6"/>
        </w:numPr>
        <w:spacing w:line="360" w:lineRule="auto"/>
        <w:ind w:left="0" w:firstLine="480"/>
        <w:rPr>
          <w:rFonts w:ascii="宋体" w:hAnsi="宋体" w:eastAsia="宋体"/>
          <w:sz w:val="24"/>
          <w:szCs w:val="24"/>
        </w:rPr>
      </w:pPr>
      <w:r>
        <w:rPr>
          <w:rFonts w:ascii="宋体" w:hAnsi="宋体" w:eastAsia="宋体"/>
          <w:sz w:val="24"/>
          <w:szCs w:val="24"/>
        </w:rPr>
        <w:t>GB 51348-2019       《</w:t>
      </w:r>
      <w:r>
        <w:rPr>
          <w:rFonts w:hint="eastAsia" w:ascii="宋体" w:hAnsi="宋体" w:eastAsia="宋体"/>
          <w:sz w:val="24"/>
          <w:szCs w:val="24"/>
        </w:rPr>
        <w:t>民用建筑电气设计标准</w:t>
      </w:r>
      <w:r>
        <w:rPr>
          <w:rFonts w:ascii="宋体" w:hAnsi="宋体" w:eastAsia="宋体"/>
          <w:sz w:val="24"/>
          <w:szCs w:val="24"/>
        </w:rPr>
        <w:t>(共二册)》</w:t>
      </w:r>
    </w:p>
    <w:p w14:paraId="2922C779">
      <w:pPr>
        <w:pStyle w:val="18"/>
        <w:numPr>
          <w:ilvl w:val="0"/>
          <w:numId w:val="6"/>
        </w:numPr>
        <w:spacing w:line="360" w:lineRule="auto"/>
        <w:ind w:left="0" w:firstLine="480"/>
        <w:rPr>
          <w:rFonts w:ascii="宋体" w:hAnsi="宋体" w:eastAsia="宋体"/>
          <w:sz w:val="24"/>
          <w:szCs w:val="24"/>
        </w:rPr>
      </w:pPr>
      <w:r>
        <w:rPr>
          <w:rFonts w:ascii="宋体" w:hAnsi="宋体" w:eastAsia="宋体"/>
          <w:sz w:val="24"/>
          <w:szCs w:val="24"/>
        </w:rPr>
        <w:t>GB 50217-2018       《</w:t>
      </w:r>
      <w:r>
        <w:rPr>
          <w:rFonts w:hint="eastAsia" w:ascii="宋体" w:hAnsi="宋体" w:eastAsia="宋体"/>
          <w:sz w:val="24"/>
          <w:szCs w:val="24"/>
        </w:rPr>
        <w:t>电力工程电缆设计标准</w:t>
      </w:r>
      <w:r>
        <w:rPr>
          <w:rFonts w:ascii="宋体" w:hAnsi="宋体" w:eastAsia="宋体"/>
          <w:sz w:val="24"/>
          <w:szCs w:val="24"/>
        </w:rPr>
        <w:t>》</w:t>
      </w:r>
    </w:p>
    <w:p w14:paraId="364B3EEE">
      <w:pPr>
        <w:pStyle w:val="18"/>
        <w:numPr>
          <w:ilvl w:val="0"/>
          <w:numId w:val="6"/>
        </w:numPr>
        <w:spacing w:line="360" w:lineRule="auto"/>
        <w:ind w:left="0" w:firstLine="480"/>
        <w:rPr>
          <w:rFonts w:ascii="宋体" w:hAnsi="宋体" w:eastAsia="宋体"/>
          <w:sz w:val="24"/>
          <w:szCs w:val="24"/>
        </w:rPr>
      </w:pPr>
      <w:r>
        <w:rPr>
          <w:rFonts w:ascii="宋体" w:hAnsi="宋体" w:eastAsia="宋体"/>
          <w:sz w:val="24"/>
          <w:szCs w:val="24"/>
        </w:rPr>
        <w:t>CJJ/T 120-2018      《</w:t>
      </w:r>
      <w:r>
        <w:rPr>
          <w:rFonts w:hint="eastAsia" w:ascii="宋体" w:hAnsi="宋体" w:eastAsia="宋体"/>
          <w:sz w:val="24"/>
          <w:szCs w:val="24"/>
        </w:rPr>
        <w:t>城镇排水系统电气与自动化工程技术标准</w:t>
      </w:r>
      <w:r>
        <w:rPr>
          <w:rFonts w:ascii="宋体" w:hAnsi="宋体" w:eastAsia="宋体"/>
          <w:sz w:val="24"/>
          <w:szCs w:val="24"/>
        </w:rPr>
        <w:t>》</w:t>
      </w:r>
    </w:p>
    <w:p w14:paraId="7FB9FF5B">
      <w:pPr>
        <w:pStyle w:val="18"/>
        <w:numPr>
          <w:ilvl w:val="0"/>
          <w:numId w:val="6"/>
        </w:numPr>
        <w:spacing w:line="360" w:lineRule="auto"/>
        <w:ind w:left="0" w:firstLine="480"/>
        <w:rPr>
          <w:rFonts w:ascii="宋体" w:hAnsi="宋体" w:eastAsia="宋体"/>
          <w:sz w:val="24"/>
          <w:szCs w:val="24"/>
        </w:rPr>
      </w:pPr>
      <w:r>
        <w:rPr>
          <w:rFonts w:ascii="宋体" w:hAnsi="宋体" w:eastAsia="宋体"/>
          <w:sz w:val="24"/>
          <w:szCs w:val="24"/>
        </w:rPr>
        <w:t>GB 14050-2008      《</w:t>
      </w:r>
      <w:r>
        <w:rPr>
          <w:rFonts w:hint="eastAsia" w:ascii="宋体" w:hAnsi="宋体" w:eastAsia="宋体"/>
          <w:sz w:val="24"/>
          <w:szCs w:val="24"/>
        </w:rPr>
        <w:t>系统接地的型式及安全技术要求</w:t>
      </w:r>
      <w:r>
        <w:rPr>
          <w:rFonts w:ascii="宋体" w:hAnsi="宋体" w:eastAsia="宋体"/>
          <w:sz w:val="24"/>
          <w:szCs w:val="24"/>
        </w:rPr>
        <w:t>》</w:t>
      </w:r>
    </w:p>
    <w:p w14:paraId="1D865087">
      <w:pPr>
        <w:pStyle w:val="18"/>
        <w:numPr>
          <w:ilvl w:val="0"/>
          <w:numId w:val="6"/>
        </w:numPr>
        <w:spacing w:line="360" w:lineRule="auto"/>
        <w:ind w:left="0" w:firstLine="480"/>
        <w:rPr>
          <w:rFonts w:ascii="宋体" w:hAnsi="宋体" w:eastAsia="宋体"/>
          <w:sz w:val="24"/>
          <w:szCs w:val="24"/>
        </w:rPr>
      </w:pPr>
      <w:r>
        <w:rPr>
          <w:rFonts w:ascii="宋体" w:hAnsi="宋体" w:eastAsia="宋体"/>
          <w:sz w:val="24"/>
          <w:szCs w:val="24"/>
        </w:rPr>
        <w:t>GB 50093-2013      《</w:t>
      </w:r>
      <w:r>
        <w:rPr>
          <w:rFonts w:hint="eastAsia" w:ascii="宋体" w:hAnsi="宋体" w:eastAsia="宋体"/>
          <w:sz w:val="24"/>
          <w:szCs w:val="24"/>
        </w:rPr>
        <w:t>自动化仪表工程施工及质量验收规范</w:t>
      </w:r>
      <w:r>
        <w:rPr>
          <w:rFonts w:ascii="宋体" w:hAnsi="宋体" w:eastAsia="宋体"/>
          <w:sz w:val="24"/>
          <w:szCs w:val="24"/>
        </w:rPr>
        <w:t>》</w:t>
      </w:r>
    </w:p>
    <w:p w14:paraId="44CC184B">
      <w:pPr>
        <w:pStyle w:val="18"/>
        <w:numPr>
          <w:ilvl w:val="0"/>
          <w:numId w:val="6"/>
        </w:numPr>
        <w:spacing w:line="360" w:lineRule="auto"/>
        <w:ind w:left="0" w:firstLine="480"/>
        <w:rPr>
          <w:rFonts w:ascii="宋体" w:hAnsi="宋体" w:eastAsia="宋体"/>
          <w:sz w:val="24"/>
          <w:szCs w:val="24"/>
        </w:rPr>
      </w:pPr>
      <w:r>
        <w:rPr>
          <w:rFonts w:ascii="宋体" w:hAnsi="宋体" w:eastAsia="宋体"/>
          <w:sz w:val="24"/>
          <w:szCs w:val="24"/>
        </w:rPr>
        <w:t>CECS 162-2004      《</w:t>
      </w:r>
      <w:r>
        <w:rPr>
          <w:rFonts w:hint="eastAsia" w:ascii="宋体" w:hAnsi="宋体" w:eastAsia="宋体"/>
          <w:sz w:val="24"/>
          <w:szCs w:val="24"/>
        </w:rPr>
        <w:t>给水排水仪表自动化控制工程施工及验收规程</w:t>
      </w:r>
      <w:r>
        <w:rPr>
          <w:rFonts w:ascii="宋体" w:hAnsi="宋体" w:eastAsia="宋体"/>
          <w:sz w:val="24"/>
          <w:szCs w:val="24"/>
        </w:rPr>
        <w:t>(附条文说明)》</w:t>
      </w:r>
    </w:p>
    <w:p w14:paraId="64CCD980">
      <w:pPr>
        <w:pStyle w:val="18"/>
        <w:numPr>
          <w:ilvl w:val="0"/>
          <w:numId w:val="6"/>
        </w:numPr>
        <w:spacing w:line="360" w:lineRule="auto"/>
        <w:ind w:left="0" w:firstLine="480"/>
        <w:rPr>
          <w:rFonts w:ascii="宋体" w:hAnsi="宋体" w:eastAsia="宋体"/>
          <w:sz w:val="24"/>
          <w:szCs w:val="24"/>
        </w:rPr>
      </w:pPr>
      <w:r>
        <w:rPr>
          <w:rFonts w:ascii="宋体" w:hAnsi="宋体" w:eastAsia="宋体"/>
          <w:sz w:val="24"/>
          <w:szCs w:val="24"/>
        </w:rPr>
        <w:t>GB 50168-2018     《</w:t>
      </w:r>
      <w:r>
        <w:rPr>
          <w:rFonts w:hint="eastAsia" w:ascii="宋体" w:hAnsi="宋体" w:eastAsia="宋体"/>
          <w:sz w:val="24"/>
          <w:szCs w:val="24"/>
        </w:rPr>
        <w:t>电气装置安装工程</w:t>
      </w:r>
      <w:r>
        <w:rPr>
          <w:rFonts w:ascii="宋体" w:hAnsi="宋体" w:eastAsia="宋体"/>
          <w:sz w:val="24"/>
          <w:szCs w:val="24"/>
        </w:rPr>
        <w:t xml:space="preserve"> 电缆线路施工及验收标准》</w:t>
      </w:r>
    </w:p>
    <w:p w14:paraId="21C0DEB1">
      <w:pPr>
        <w:pStyle w:val="18"/>
        <w:numPr>
          <w:ilvl w:val="0"/>
          <w:numId w:val="6"/>
        </w:numPr>
        <w:spacing w:line="360" w:lineRule="auto"/>
        <w:ind w:left="0" w:firstLine="480"/>
        <w:rPr>
          <w:rFonts w:ascii="宋体" w:hAnsi="宋体" w:eastAsia="宋体"/>
          <w:sz w:val="24"/>
          <w:szCs w:val="24"/>
        </w:rPr>
      </w:pPr>
      <w:r>
        <w:rPr>
          <w:rFonts w:ascii="宋体" w:hAnsi="宋体" w:eastAsia="宋体"/>
          <w:sz w:val="24"/>
          <w:szCs w:val="24"/>
        </w:rPr>
        <w:t>GB 50169-2016     《</w:t>
      </w:r>
      <w:r>
        <w:rPr>
          <w:rFonts w:hint="eastAsia" w:ascii="宋体" w:hAnsi="宋体" w:eastAsia="宋体"/>
          <w:sz w:val="24"/>
          <w:szCs w:val="24"/>
        </w:rPr>
        <w:t>电气装置安装工程</w:t>
      </w:r>
      <w:r>
        <w:rPr>
          <w:rFonts w:ascii="宋体" w:hAnsi="宋体" w:eastAsia="宋体"/>
          <w:sz w:val="24"/>
          <w:szCs w:val="24"/>
        </w:rPr>
        <w:t xml:space="preserve"> 接地装置施工及验收规范》</w:t>
      </w:r>
    </w:p>
    <w:p w14:paraId="7F2BE1F2">
      <w:pPr>
        <w:spacing w:line="360" w:lineRule="auto"/>
        <w:ind w:firstLine="480" w:firstLineChars="200"/>
        <w:rPr>
          <w:rFonts w:ascii="宋体" w:hAnsi="宋体" w:eastAsia="宋体"/>
          <w:sz w:val="24"/>
          <w:szCs w:val="24"/>
        </w:rPr>
      </w:pPr>
      <w:r>
        <w:rPr>
          <w:rFonts w:hint="eastAsia" w:ascii="宋体" w:hAnsi="宋体" w:eastAsia="宋体"/>
          <w:sz w:val="24"/>
          <w:szCs w:val="24"/>
        </w:rPr>
        <w:t>标准执行优先级：如上述标准与供方（包括配套厂）所执行的标准发生矛盾时，按较高标准执行。当文件的条款相互矛盾时候，按下列顺序执行：</w:t>
      </w:r>
      <w:r>
        <w:rPr>
          <w:rFonts w:ascii="宋体" w:hAnsi="宋体" w:eastAsia="宋体"/>
          <w:sz w:val="24"/>
          <w:szCs w:val="24"/>
        </w:rPr>
        <w:t>A、技术协议</w:t>
      </w:r>
      <w:r>
        <w:rPr>
          <w:rFonts w:hint="eastAsia" w:ascii="宋体" w:hAnsi="宋体" w:eastAsia="宋体"/>
          <w:sz w:val="24"/>
          <w:szCs w:val="24"/>
        </w:rPr>
        <w:t>；</w:t>
      </w:r>
      <w:r>
        <w:rPr>
          <w:rFonts w:ascii="宋体" w:hAnsi="宋体" w:eastAsia="宋体"/>
          <w:sz w:val="24"/>
          <w:szCs w:val="24"/>
        </w:rPr>
        <w:t>B、以上标准及规范。</w:t>
      </w:r>
    </w:p>
    <w:p w14:paraId="51880337">
      <w:pPr>
        <w:spacing w:line="360" w:lineRule="auto"/>
        <w:rPr>
          <w:rFonts w:ascii="宋体" w:hAnsi="宋体" w:eastAsia="宋体"/>
          <w:sz w:val="24"/>
          <w:szCs w:val="24"/>
        </w:rPr>
      </w:pPr>
    </w:p>
    <w:p w14:paraId="69F02A06">
      <w:pPr>
        <w:pStyle w:val="18"/>
        <w:keepNext/>
        <w:keepLines/>
        <w:numPr>
          <w:ilvl w:val="0"/>
          <w:numId w:val="2"/>
        </w:numPr>
        <w:spacing w:line="360" w:lineRule="auto"/>
        <w:ind w:firstLineChars="0"/>
        <w:outlineLvl w:val="0"/>
        <w:rPr>
          <w:rFonts w:ascii="宋体" w:hAnsi="宋体" w:eastAsia="宋体"/>
          <w:b/>
          <w:sz w:val="28"/>
          <w:szCs w:val="24"/>
        </w:rPr>
      </w:pPr>
      <w:bookmarkStart w:id="1" w:name="_Toc138680816"/>
      <w:r>
        <w:rPr>
          <w:rFonts w:ascii="宋体" w:hAnsi="宋体" w:eastAsia="宋体"/>
          <w:b/>
          <w:sz w:val="28"/>
          <w:szCs w:val="24"/>
        </w:rPr>
        <w:t>仪表技术要求</w:t>
      </w:r>
      <w:bookmarkEnd w:id="1"/>
    </w:p>
    <w:p w14:paraId="3D89083D">
      <w:pPr>
        <w:pStyle w:val="18"/>
        <w:numPr>
          <w:ilvl w:val="1"/>
          <w:numId w:val="7"/>
        </w:numPr>
        <w:spacing w:line="360" w:lineRule="auto"/>
        <w:ind w:firstLineChars="0"/>
        <w:outlineLvl w:val="1"/>
        <w:rPr>
          <w:rFonts w:ascii="宋体" w:hAnsi="宋体" w:eastAsia="宋体"/>
          <w:b/>
          <w:sz w:val="28"/>
          <w:szCs w:val="24"/>
        </w:rPr>
      </w:pPr>
      <w:bookmarkStart w:id="2" w:name="_Toc138680817"/>
      <w:r>
        <w:rPr>
          <w:rFonts w:ascii="宋体" w:hAnsi="宋体" w:eastAsia="宋体"/>
          <w:b/>
          <w:sz w:val="28"/>
          <w:szCs w:val="24"/>
        </w:rPr>
        <w:t>一般要求</w:t>
      </w:r>
      <w:bookmarkEnd w:id="2"/>
    </w:p>
    <w:p w14:paraId="4D0DE0C1">
      <w:pPr>
        <w:pStyle w:val="18"/>
        <w:numPr>
          <w:ilvl w:val="0"/>
          <w:numId w:val="8"/>
        </w:numPr>
        <w:spacing w:line="360" w:lineRule="auto"/>
        <w:ind w:left="0" w:firstLine="480"/>
        <w:rPr>
          <w:rFonts w:ascii="宋体" w:hAnsi="宋体" w:eastAsia="宋体"/>
          <w:sz w:val="24"/>
          <w:szCs w:val="24"/>
        </w:rPr>
      </w:pPr>
      <w:r>
        <w:rPr>
          <w:rFonts w:ascii="宋体" w:hAnsi="宋体" w:eastAsia="宋体"/>
          <w:sz w:val="24"/>
          <w:szCs w:val="24"/>
        </w:rPr>
        <w:t>投标人保证供货范围内自控仪表成套设备的供货完整，包含配套全部连接附件（配套法兰、焊接螺纹接头、冷凝弯等）。无论何时发现缺项、漏项，投标人都必须无偿补足；出厂前经过严格检验，并出具合格证；</w:t>
      </w:r>
    </w:p>
    <w:p w14:paraId="287428BA">
      <w:pPr>
        <w:pStyle w:val="18"/>
        <w:numPr>
          <w:ilvl w:val="0"/>
          <w:numId w:val="8"/>
        </w:numPr>
        <w:spacing w:line="360" w:lineRule="auto"/>
        <w:ind w:left="0" w:firstLine="480"/>
        <w:rPr>
          <w:rFonts w:ascii="宋体" w:hAnsi="宋体" w:eastAsia="宋体"/>
          <w:sz w:val="24"/>
          <w:szCs w:val="24"/>
        </w:rPr>
      </w:pPr>
      <w:r>
        <w:rPr>
          <w:rFonts w:ascii="宋体" w:hAnsi="宋体" w:eastAsia="宋体"/>
          <w:sz w:val="24"/>
          <w:szCs w:val="24"/>
        </w:rPr>
        <w:t>所有产品必须是全新的，不接受修复的产品；</w:t>
      </w:r>
    </w:p>
    <w:p w14:paraId="0B4B2E88">
      <w:pPr>
        <w:pStyle w:val="18"/>
        <w:numPr>
          <w:ilvl w:val="0"/>
          <w:numId w:val="8"/>
        </w:numPr>
        <w:spacing w:line="360" w:lineRule="auto"/>
        <w:ind w:left="0" w:firstLine="480"/>
        <w:rPr>
          <w:rFonts w:ascii="宋体" w:hAnsi="宋体" w:eastAsia="宋体"/>
          <w:sz w:val="24"/>
          <w:szCs w:val="24"/>
        </w:rPr>
      </w:pPr>
      <w:r>
        <w:rPr>
          <w:rFonts w:ascii="宋体" w:hAnsi="宋体" w:eastAsia="宋体"/>
          <w:sz w:val="24"/>
          <w:szCs w:val="24"/>
        </w:rPr>
        <w:t>材料、附件等均应是质量合格、符合相应标准，均应是先进、可靠、适用的全新产品，能保证工艺装置长期、安全生产和操作，满足本装置生产环境、工艺介质要求；</w:t>
      </w:r>
    </w:p>
    <w:p w14:paraId="103C30DF">
      <w:pPr>
        <w:pStyle w:val="18"/>
        <w:numPr>
          <w:ilvl w:val="0"/>
          <w:numId w:val="8"/>
        </w:numPr>
        <w:spacing w:line="360" w:lineRule="auto"/>
        <w:ind w:left="0" w:firstLine="480"/>
        <w:rPr>
          <w:rFonts w:ascii="宋体" w:hAnsi="宋体" w:eastAsia="宋体"/>
          <w:sz w:val="24"/>
          <w:szCs w:val="24"/>
        </w:rPr>
      </w:pPr>
      <w:r>
        <w:rPr>
          <w:rFonts w:ascii="宋体" w:hAnsi="宋体" w:eastAsia="宋体"/>
          <w:sz w:val="24"/>
          <w:szCs w:val="24"/>
        </w:rPr>
        <w:t>投标人须提供投标货物的品牌、型号、详细配置及主要技术参数、性能说明和功能介绍，同时还应提供各主要部件的生产厂家及型号；</w:t>
      </w:r>
    </w:p>
    <w:p w14:paraId="02EC8D1A">
      <w:pPr>
        <w:pStyle w:val="18"/>
        <w:numPr>
          <w:ilvl w:val="0"/>
          <w:numId w:val="8"/>
        </w:numPr>
        <w:spacing w:line="360" w:lineRule="auto"/>
        <w:ind w:left="0" w:firstLine="480"/>
        <w:rPr>
          <w:rFonts w:ascii="宋体" w:hAnsi="宋体" w:eastAsia="宋体"/>
          <w:sz w:val="24"/>
          <w:szCs w:val="24"/>
        </w:rPr>
      </w:pPr>
      <w:r>
        <w:rPr>
          <w:rFonts w:ascii="宋体" w:hAnsi="宋体" w:eastAsia="宋体"/>
          <w:sz w:val="24"/>
          <w:szCs w:val="24"/>
        </w:rPr>
        <w:t>每台仪表</w:t>
      </w:r>
      <w:r>
        <w:rPr>
          <w:rFonts w:hint="eastAsia" w:ascii="宋体" w:hAnsi="宋体" w:eastAsia="宋体"/>
          <w:sz w:val="24"/>
          <w:szCs w:val="24"/>
        </w:rPr>
        <w:t>均需配备不锈钢铭牌，铭牌</w:t>
      </w:r>
      <w:r>
        <w:rPr>
          <w:rFonts w:ascii="宋体" w:hAnsi="宋体" w:eastAsia="宋体"/>
          <w:sz w:val="24"/>
          <w:szCs w:val="24"/>
        </w:rPr>
        <w:t>应永久、牢固固定在</w:t>
      </w:r>
      <w:r>
        <w:rPr>
          <w:rFonts w:hint="eastAsia" w:ascii="宋体" w:hAnsi="宋体" w:eastAsia="宋体"/>
          <w:sz w:val="24"/>
          <w:szCs w:val="24"/>
        </w:rPr>
        <w:t>仪表本体</w:t>
      </w:r>
      <w:r>
        <w:rPr>
          <w:rFonts w:ascii="宋体" w:hAnsi="宋体" w:eastAsia="宋体"/>
          <w:sz w:val="24"/>
          <w:szCs w:val="24"/>
        </w:rPr>
        <w:t>上，铭牌除包含制造厂家常规设备参数、型号规格、出厂编号、生产厂家、出厂日期等信息外，</w:t>
      </w:r>
      <w:r>
        <w:rPr>
          <w:rFonts w:ascii="宋体" w:hAnsi="宋体" w:eastAsia="宋体"/>
          <w:color w:val="00B0F0"/>
          <w:sz w:val="24"/>
          <w:szCs w:val="24"/>
        </w:rPr>
        <w:t>还需标注仪表位号</w:t>
      </w:r>
      <w:r>
        <w:rPr>
          <w:rFonts w:ascii="宋体" w:hAnsi="宋体" w:eastAsia="宋体"/>
          <w:sz w:val="24"/>
          <w:szCs w:val="24"/>
        </w:rPr>
        <w:t>，铭牌内容及设置符合有关标准。</w:t>
      </w:r>
    </w:p>
    <w:p w14:paraId="5361F36F">
      <w:pPr>
        <w:pStyle w:val="18"/>
        <w:numPr>
          <w:ilvl w:val="0"/>
          <w:numId w:val="8"/>
        </w:numPr>
        <w:spacing w:line="360" w:lineRule="auto"/>
        <w:ind w:left="0" w:firstLine="480"/>
        <w:rPr>
          <w:rFonts w:ascii="宋体" w:hAnsi="宋体" w:eastAsia="宋体"/>
          <w:sz w:val="24"/>
          <w:szCs w:val="24"/>
        </w:rPr>
      </w:pPr>
      <w:r>
        <w:rPr>
          <w:rFonts w:ascii="宋体" w:hAnsi="宋体" w:eastAsia="宋体"/>
          <w:sz w:val="24"/>
          <w:szCs w:val="24"/>
        </w:rPr>
        <w:t>所有仪表</w:t>
      </w:r>
      <w:r>
        <w:rPr>
          <w:rFonts w:hint="eastAsia" w:ascii="宋体" w:hAnsi="宋体" w:eastAsia="宋体"/>
          <w:sz w:val="24"/>
          <w:szCs w:val="24"/>
        </w:rPr>
        <w:t>电气</w:t>
      </w:r>
      <w:r>
        <w:rPr>
          <w:rFonts w:ascii="宋体" w:hAnsi="宋体" w:eastAsia="宋体"/>
          <w:sz w:val="24"/>
          <w:szCs w:val="24"/>
        </w:rPr>
        <w:t>外壳都</w:t>
      </w:r>
      <w:r>
        <w:rPr>
          <w:rFonts w:hint="eastAsia" w:ascii="宋体" w:hAnsi="宋体" w:eastAsia="宋体"/>
          <w:sz w:val="24"/>
          <w:szCs w:val="24"/>
        </w:rPr>
        <w:t>需</w:t>
      </w:r>
      <w:r>
        <w:rPr>
          <w:rFonts w:ascii="宋体" w:hAnsi="宋体" w:eastAsia="宋体"/>
          <w:sz w:val="24"/>
          <w:szCs w:val="24"/>
        </w:rPr>
        <w:t>进行</w:t>
      </w:r>
      <w:r>
        <w:rPr>
          <w:rFonts w:hint="eastAsia" w:ascii="宋体" w:hAnsi="宋体" w:eastAsia="宋体"/>
          <w:sz w:val="24"/>
          <w:szCs w:val="24"/>
        </w:rPr>
        <w:t>烤漆</w:t>
      </w:r>
      <w:r>
        <w:rPr>
          <w:rFonts w:ascii="宋体" w:hAnsi="宋体" w:eastAsia="宋体"/>
          <w:sz w:val="24"/>
          <w:szCs w:val="24"/>
        </w:rPr>
        <w:t>防腐处理，</w:t>
      </w:r>
      <w:r>
        <w:rPr>
          <w:rFonts w:hint="eastAsia" w:ascii="宋体" w:hAnsi="宋体" w:eastAsia="宋体"/>
          <w:sz w:val="24"/>
          <w:szCs w:val="24"/>
        </w:rPr>
        <w:t>防腐措施应保证仪表在本项目工况下具备较强的抗腐蚀性和较长的使用寿命；高温仪表需采用耐高温防腐漆，保证油漆在高温下不脱落</w:t>
      </w:r>
      <w:r>
        <w:rPr>
          <w:rFonts w:ascii="宋体" w:hAnsi="宋体" w:eastAsia="宋体"/>
          <w:sz w:val="24"/>
          <w:szCs w:val="24"/>
        </w:rPr>
        <w:t>；</w:t>
      </w:r>
    </w:p>
    <w:p w14:paraId="0A6222A2">
      <w:pPr>
        <w:pStyle w:val="18"/>
        <w:numPr>
          <w:ilvl w:val="0"/>
          <w:numId w:val="8"/>
        </w:numPr>
        <w:spacing w:line="360" w:lineRule="auto"/>
        <w:ind w:left="0" w:firstLine="480"/>
        <w:rPr>
          <w:rFonts w:ascii="宋体" w:hAnsi="宋体" w:eastAsia="宋体"/>
          <w:bCs/>
          <w:sz w:val="24"/>
          <w:szCs w:val="24"/>
        </w:rPr>
      </w:pPr>
      <w:r>
        <w:rPr>
          <w:rFonts w:hint="eastAsia" w:ascii="宋体" w:hAnsi="宋体" w:eastAsia="宋体"/>
          <w:bCs/>
          <w:sz w:val="24"/>
          <w:szCs w:val="24"/>
        </w:rPr>
        <w:t>投标人所供货的耐震压力表外壳内需按要求填充硅油或甘油，并且不得有渗漏。</w:t>
      </w:r>
    </w:p>
    <w:p w14:paraId="31C3911F">
      <w:pPr>
        <w:pStyle w:val="18"/>
        <w:numPr>
          <w:ilvl w:val="0"/>
          <w:numId w:val="8"/>
        </w:numPr>
        <w:spacing w:line="360" w:lineRule="auto"/>
        <w:ind w:left="0" w:firstLine="480"/>
        <w:rPr>
          <w:rFonts w:ascii="宋体" w:hAnsi="宋体" w:eastAsia="宋体"/>
          <w:bCs/>
          <w:color w:val="00B0F0"/>
          <w:sz w:val="24"/>
          <w:szCs w:val="24"/>
        </w:rPr>
      </w:pPr>
      <w:r>
        <w:rPr>
          <w:rFonts w:ascii="宋体" w:hAnsi="宋体" w:eastAsia="宋体"/>
          <w:bCs/>
          <w:color w:val="00B0F0"/>
          <w:sz w:val="24"/>
          <w:szCs w:val="24"/>
        </w:rPr>
        <w:t>所有机械仪表、自控仪表所配套的连接件（焊接螺纹短接头、球阀、球阀与仪表中间段螺纹短接、冷凝弯等）的螺纹标准和规格需匹配；发货时需分类标识清楚，便于现场查找与安装；焊接头长度和球阀与仪表中间段螺纹短接按清单参数要求配置</w:t>
      </w:r>
      <w:r>
        <w:rPr>
          <w:rFonts w:hint="eastAsia" w:ascii="宋体" w:hAnsi="宋体" w:eastAsia="宋体"/>
          <w:bCs/>
          <w:color w:val="00B0F0"/>
          <w:sz w:val="24"/>
          <w:szCs w:val="24"/>
        </w:rPr>
        <w:t>。</w:t>
      </w:r>
    </w:p>
    <w:p w14:paraId="43930C2C">
      <w:pPr>
        <w:pStyle w:val="18"/>
        <w:numPr>
          <w:ilvl w:val="0"/>
          <w:numId w:val="8"/>
        </w:numPr>
        <w:spacing w:line="360" w:lineRule="auto"/>
        <w:ind w:left="0" w:firstLine="480"/>
        <w:rPr>
          <w:rFonts w:ascii="宋体" w:hAnsi="宋体" w:eastAsia="宋体"/>
          <w:bCs/>
          <w:color w:val="00B0F0"/>
          <w:sz w:val="24"/>
          <w:szCs w:val="24"/>
        </w:rPr>
      </w:pPr>
      <w:r>
        <w:rPr>
          <w:rFonts w:hint="eastAsia" w:ascii="宋体" w:hAnsi="宋体" w:eastAsia="宋体"/>
          <w:bCs/>
          <w:color w:val="00B0F0"/>
          <w:sz w:val="24"/>
          <w:szCs w:val="24"/>
        </w:rPr>
        <w:t>供方所供蒸汽流量计须随货提供特种设备制造监督检验证书（</w:t>
      </w:r>
      <w:r>
        <w:rPr>
          <w:rFonts w:ascii="宋体" w:hAnsi="宋体" w:eastAsia="宋体"/>
          <w:bCs/>
          <w:color w:val="00B0F0"/>
          <w:sz w:val="24"/>
          <w:szCs w:val="24"/>
        </w:rPr>
        <w:t>TS 监检证书），证书覆盖本项目蒸汽工况（饱和 / 过热蒸汽、公称压力、公称直径、工作温度）。</w:t>
      </w:r>
      <w:r>
        <w:rPr>
          <w:rFonts w:hint="eastAsia" w:ascii="宋体" w:hAnsi="宋体" w:eastAsia="宋体"/>
          <w:bCs/>
          <w:color w:val="00B0F0"/>
          <w:sz w:val="24"/>
          <w:szCs w:val="24"/>
        </w:rPr>
        <w:t>产品本体应清晰标注</w:t>
      </w:r>
      <w:r>
        <w:rPr>
          <w:rFonts w:ascii="宋体" w:hAnsi="宋体" w:eastAsia="宋体"/>
          <w:bCs/>
          <w:color w:val="00B0F0"/>
          <w:sz w:val="24"/>
          <w:szCs w:val="24"/>
        </w:rPr>
        <w:t>TS 认证标志，证书真实有效、可在国家特种设备公示平台核验。</w:t>
      </w:r>
    </w:p>
    <w:p w14:paraId="03F05A5B">
      <w:pPr>
        <w:pStyle w:val="18"/>
        <w:numPr>
          <w:ilvl w:val="1"/>
          <w:numId w:val="7"/>
        </w:numPr>
        <w:spacing w:line="360" w:lineRule="auto"/>
        <w:ind w:firstLineChars="0"/>
        <w:outlineLvl w:val="1"/>
        <w:rPr>
          <w:rFonts w:ascii="宋体" w:hAnsi="宋体" w:eastAsia="宋体"/>
          <w:b/>
          <w:sz w:val="28"/>
          <w:szCs w:val="24"/>
        </w:rPr>
      </w:pPr>
      <w:bookmarkStart w:id="3" w:name="_Toc138680819"/>
      <w:r>
        <w:rPr>
          <w:rFonts w:hint="eastAsia" w:ascii="宋体" w:hAnsi="宋体" w:eastAsia="宋体"/>
          <w:b/>
          <w:sz w:val="28"/>
          <w:szCs w:val="24"/>
        </w:rPr>
        <w:t>仪表性能要求</w:t>
      </w:r>
      <w:bookmarkEnd w:id="3"/>
    </w:p>
    <w:p w14:paraId="36C7004B">
      <w:pPr>
        <w:pStyle w:val="18"/>
        <w:numPr>
          <w:ilvl w:val="0"/>
          <w:numId w:val="9"/>
        </w:numPr>
        <w:spacing w:line="360" w:lineRule="auto"/>
        <w:ind w:left="0" w:firstLine="480"/>
        <w:rPr>
          <w:rFonts w:ascii="宋体" w:hAnsi="宋体" w:eastAsia="宋体"/>
          <w:sz w:val="24"/>
          <w:szCs w:val="24"/>
        </w:rPr>
      </w:pPr>
      <w:r>
        <w:rPr>
          <w:rFonts w:hint="eastAsia" w:ascii="宋体" w:hAnsi="宋体" w:eastAsia="宋体"/>
          <w:sz w:val="24"/>
          <w:szCs w:val="24"/>
        </w:rPr>
        <w:t>有防爆要求的仪表应选用相应防爆等级的防爆型产品，防爆等级不低于ExdII</w:t>
      </w:r>
      <w:r>
        <w:rPr>
          <w:rFonts w:ascii="宋体" w:hAnsi="宋体" w:eastAsia="宋体"/>
          <w:sz w:val="24"/>
          <w:szCs w:val="24"/>
        </w:rPr>
        <w:t>B</w:t>
      </w:r>
      <w:r>
        <w:rPr>
          <w:rFonts w:hint="eastAsia" w:ascii="宋体" w:hAnsi="宋体" w:eastAsia="宋体"/>
          <w:sz w:val="24"/>
          <w:szCs w:val="24"/>
        </w:rPr>
        <w:t>T</w:t>
      </w:r>
      <w:r>
        <w:rPr>
          <w:rFonts w:ascii="宋体" w:hAnsi="宋体" w:eastAsia="宋体"/>
          <w:sz w:val="24"/>
          <w:szCs w:val="24"/>
        </w:rPr>
        <w:t>4</w:t>
      </w:r>
      <w:r>
        <w:rPr>
          <w:rFonts w:hint="eastAsia" w:ascii="宋体" w:hAnsi="宋体" w:eastAsia="宋体"/>
          <w:sz w:val="24"/>
          <w:szCs w:val="24"/>
        </w:rPr>
        <w:t>。</w:t>
      </w:r>
    </w:p>
    <w:p w14:paraId="0B630FAC">
      <w:pPr>
        <w:pStyle w:val="18"/>
        <w:numPr>
          <w:ilvl w:val="0"/>
          <w:numId w:val="9"/>
        </w:numPr>
        <w:spacing w:line="360" w:lineRule="auto"/>
        <w:ind w:left="0" w:firstLine="480"/>
        <w:rPr>
          <w:rFonts w:ascii="宋体" w:hAnsi="宋体" w:eastAsia="宋体"/>
          <w:sz w:val="24"/>
          <w:szCs w:val="24"/>
        </w:rPr>
      </w:pPr>
      <w:r>
        <w:rPr>
          <w:rFonts w:ascii="宋体" w:hAnsi="宋体" w:eastAsia="宋体"/>
          <w:sz w:val="24"/>
          <w:szCs w:val="24"/>
        </w:rPr>
        <w:t>具有防爆要求的应配置防爆接线盒，其余</w:t>
      </w:r>
      <w:r>
        <w:rPr>
          <w:rFonts w:hint="eastAsia" w:ascii="宋体" w:hAnsi="宋体" w:eastAsia="宋体"/>
          <w:sz w:val="24"/>
          <w:szCs w:val="24"/>
        </w:rPr>
        <w:t>仪表</w:t>
      </w:r>
      <w:r>
        <w:rPr>
          <w:rFonts w:ascii="宋体" w:hAnsi="宋体" w:eastAsia="宋体"/>
          <w:sz w:val="24"/>
          <w:szCs w:val="24"/>
        </w:rPr>
        <w:t>配置普通接线盒（采用铸铝等金属材质），</w:t>
      </w:r>
      <w:r>
        <w:rPr>
          <w:rFonts w:hint="eastAsia" w:ascii="宋体" w:hAnsi="宋体" w:eastAsia="宋体"/>
          <w:sz w:val="24"/>
          <w:szCs w:val="24"/>
        </w:rPr>
        <w:t>室内、</w:t>
      </w:r>
      <w:r>
        <w:rPr>
          <w:rFonts w:ascii="宋体" w:hAnsi="宋体" w:eastAsia="宋体"/>
          <w:sz w:val="24"/>
          <w:szCs w:val="24"/>
        </w:rPr>
        <w:t>室外型</w:t>
      </w:r>
      <w:r>
        <w:rPr>
          <w:rFonts w:hint="eastAsia" w:ascii="宋体" w:hAnsi="宋体" w:eastAsia="宋体"/>
          <w:sz w:val="24"/>
          <w:szCs w:val="24"/>
        </w:rPr>
        <w:t>都</w:t>
      </w:r>
      <w:r>
        <w:rPr>
          <w:rFonts w:ascii="宋体" w:hAnsi="宋体" w:eastAsia="宋体"/>
          <w:sz w:val="24"/>
          <w:szCs w:val="24"/>
        </w:rPr>
        <w:t>应考虑户外防水性能要求，防护等级IP65</w:t>
      </w:r>
      <w:r>
        <w:rPr>
          <w:rFonts w:hint="eastAsia" w:ascii="宋体" w:hAnsi="宋体" w:eastAsia="宋体"/>
          <w:sz w:val="24"/>
          <w:szCs w:val="24"/>
        </w:rPr>
        <w:t>及以上，</w:t>
      </w:r>
      <w:r>
        <w:rPr>
          <w:rFonts w:ascii="宋体" w:hAnsi="宋体" w:eastAsia="宋体"/>
          <w:sz w:val="24"/>
          <w:szCs w:val="24"/>
        </w:rPr>
        <w:t>所有</w:t>
      </w:r>
      <w:r>
        <w:rPr>
          <w:rFonts w:hint="eastAsia" w:ascii="宋体" w:hAnsi="宋体" w:eastAsia="宋体"/>
          <w:sz w:val="24"/>
          <w:szCs w:val="24"/>
        </w:rPr>
        <w:t>仪表</w:t>
      </w:r>
      <w:r>
        <w:rPr>
          <w:rFonts w:ascii="宋体" w:hAnsi="宋体" w:eastAsia="宋体"/>
          <w:sz w:val="24"/>
          <w:szCs w:val="24"/>
        </w:rPr>
        <w:t>应</w:t>
      </w:r>
      <w:r>
        <w:rPr>
          <w:rFonts w:hint="eastAsia" w:ascii="宋体" w:hAnsi="宋体" w:eastAsia="宋体"/>
          <w:sz w:val="24"/>
          <w:szCs w:val="24"/>
        </w:rPr>
        <w:t>具备良好的</w:t>
      </w:r>
      <w:r>
        <w:rPr>
          <w:rFonts w:ascii="宋体" w:hAnsi="宋体" w:eastAsia="宋体"/>
          <w:sz w:val="24"/>
          <w:szCs w:val="24"/>
        </w:rPr>
        <w:t>密封</w:t>
      </w:r>
      <w:r>
        <w:rPr>
          <w:rFonts w:hint="eastAsia" w:ascii="宋体" w:hAnsi="宋体" w:eastAsia="宋体"/>
          <w:sz w:val="24"/>
          <w:szCs w:val="24"/>
        </w:rPr>
        <w:t>性。</w:t>
      </w:r>
    </w:p>
    <w:p w14:paraId="70DBF7F8">
      <w:pPr>
        <w:pStyle w:val="18"/>
        <w:numPr>
          <w:ilvl w:val="0"/>
          <w:numId w:val="9"/>
        </w:numPr>
        <w:spacing w:line="360" w:lineRule="auto"/>
        <w:ind w:left="0" w:firstLine="480"/>
        <w:rPr>
          <w:rFonts w:ascii="宋体" w:hAnsi="宋体" w:eastAsia="宋体"/>
          <w:sz w:val="24"/>
          <w:szCs w:val="24"/>
        </w:rPr>
      </w:pPr>
      <w:r>
        <w:rPr>
          <w:rFonts w:ascii="宋体" w:hAnsi="宋体" w:eastAsia="宋体"/>
          <w:sz w:val="24"/>
          <w:szCs w:val="24"/>
        </w:rPr>
        <w:t>所有</w:t>
      </w:r>
      <w:r>
        <w:rPr>
          <w:rFonts w:hint="eastAsia" w:ascii="宋体" w:hAnsi="宋体" w:eastAsia="宋体"/>
          <w:sz w:val="24"/>
          <w:szCs w:val="24"/>
        </w:rPr>
        <w:t>仪表</w:t>
      </w:r>
      <w:r>
        <w:rPr>
          <w:rFonts w:ascii="宋体" w:hAnsi="宋体" w:eastAsia="宋体"/>
          <w:sz w:val="24"/>
          <w:szCs w:val="24"/>
        </w:rPr>
        <w:t>在出厂前均应</w:t>
      </w:r>
      <w:r>
        <w:rPr>
          <w:rFonts w:hint="eastAsia" w:ascii="宋体" w:hAnsi="宋体" w:eastAsia="宋体"/>
          <w:sz w:val="24"/>
          <w:szCs w:val="24"/>
        </w:rPr>
        <w:t>根据安装条件预先调好量程、单位及相关参数，保证仪表到现场可直接安装使用。</w:t>
      </w:r>
    </w:p>
    <w:p w14:paraId="51045049">
      <w:pPr>
        <w:pStyle w:val="18"/>
        <w:numPr>
          <w:ilvl w:val="0"/>
          <w:numId w:val="9"/>
        </w:numPr>
        <w:spacing w:line="360" w:lineRule="auto"/>
        <w:ind w:left="0" w:firstLine="480"/>
        <w:rPr>
          <w:rFonts w:ascii="宋体" w:hAnsi="宋体" w:eastAsia="宋体"/>
          <w:sz w:val="24"/>
          <w:szCs w:val="24"/>
        </w:rPr>
      </w:pPr>
      <w:r>
        <w:rPr>
          <w:rFonts w:ascii="宋体" w:hAnsi="宋体" w:eastAsia="宋体"/>
          <w:sz w:val="24"/>
          <w:szCs w:val="24"/>
        </w:rPr>
        <w:t>所有</w:t>
      </w:r>
      <w:r>
        <w:rPr>
          <w:rFonts w:hint="eastAsia" w:ascii="宋体" w:hAnsi="宋体" w:eastAsia="宋体"/>
          <w:sz w:val="24"/>
          <w:szCs w:val="24"/>
        </w:rPr>
        <w:t>流量计仪表</w:t>
      </w:r>
      <w:r>
        <w:rPr>
          <w:rFonts w:ascii="宋体" w:hAnsi="宋体" w:eastAsia="宋体"/>
          <w:sz w:val="24"/>
          <w:szCs w:val="24"/>
        </w:rPr>
        <w:t>在出厂前均应</w:t>
      </w:r>
      <w:r>
        <w:rPr>
          <w:rFonts w:hint="eastAsia" w:ascii="宋体" w:hAnsi="宋体" w:eastAsia="宋体"/>
          <w:sz w:val="24"/>
          <w:szCs w:val="24"/>
        </w:rPr>
        <w:t>根据所备注的仪表流向，预先调整好仪表表头的朝向。</w:t>
      </w:r>
    </w:p>
    <w:p w14:paraId="2073F4E9">
      <w:pPr>
        <w:pStyle w:val="18"/>
        <w:numPr>
          <w:ilvl w:val="0"/>
          <w:numId w:val="9"/>
        </w:numPr>
        <w:spacing w:line="360" w:lineRule="auto"/>
        <w:ind w:left="0" w:firstLine="482"/>
        <w:rPr>
          <w:rFonts w:ascii="宋体" w:hAnsi="宋体" w:eastAsia="宋体"/>
          <w:b/>
          <w:bCs/>
          <w:color w:val="00B0F0"/>
          <w:sz w:val="24"/>
          <w:szCs w:val="24"/>
        </w:rPr>
      </w:pPr>
      <w:r>
        <w:rPr>
          <w:rFonts w:hint="eastAsia" w:ascii="宋体" w:hAnsi="宋体" w:eastAsia="宋体"/>
          <w:b/>
          <w:bCs/>
          <w:color w:val="00B0F0"/>
          <w:sz w:val="24"/>
          <w:szCs w:val="24"/>
        </w:rPr>
        <w:t>所有仪表接线口或预留接线口出厂时使用不锈钢3</w:t>
      </w:r>
      <w:r>
        <w:rPr>
          <w:rFonts w:ascii="宋体" w:hAnsi="宋体" w:eastAsia="宋体"/>
          <w:b/>
          <w:bCs/>
          <w:color w:val="00B0F0"/>
          <w:sz w:val="24"/>
          <w:szCs w:val="24"/>
        </w:rPr>
        <w:t>04</w:t>
      </w:r>
      <w:r>
        <w:rPr>
          <w:rFonts w:hint="eastAsia" w:ascii="宋体" w:hAnsi="宋体" w:eastAsia="宋体"/>
          <w:b/>
          <w:bCs/>
          <w:color w:val="00B0F0"/>
          <w:sz w:val="24"/>
          <w:szCs w:val="24"/>
        </w:rPr>
        <w:t>螺纹堵头封堵，防止仪表在现场或运输过程中进水、进灰，待接线时再更换为对应螺纹规格的密封连接接头，类似下图所示接头，供货方需严格按照电缆规格大小配备对应的密封连接接头（电缆说明：两线制选用</w:t>
      </w:r>
      <w:r>
        <w:rPr>
          <w:rFonts w:ascii="宋体" w:hAnsi="宋体" w:eastAsia="宋体"/>
          <w:b/>
          <w:bCs/>
          <w:color w:val="00B0F0"/>
          <w:sz w:val="24"/>
          <w:szCs w:val="24"/>
        </w:rPr>
        <w:t>RVVP-2*1.0/线径φ7.0mm</w:t>
      </w:r>
      <w:r>
        <w:rPr>
          <w:rFonts w:hint="eastAsia" w:ascii="宋体" w:hAnsi="宋体" w:eastAsia="宋体"/>
          <w:b/>
          <w:bCs/>
          <w:color w:val="00B0F0"/>
          <w:sz w:val="24"/>
          <w:szCs w:val="24"/>
        </w:rPr>
        <w:t>，</w:t>
      </w:r>
      <w:r>
        <w:rPr>
          <w:rFonts w:ascii="宋体" w:hAnsi="宋体" w:eastAsia="宋体"/>
          <w:b/>
          <w:bCs/>
          <w:color w:val="00B0F0"/>
          <w:sz w:val="24"/>
          <w:szCs w:val="24"/>
        </w:rPr>
        <w:t>四线制选用RVVP-4*1.0/线径φ7.5mm</w:t>
      </w:r>
      <w:r>
        <w:rPr>
          <w:rFonts w:hint="eastAsia" w:ascii="宋体" w:hAnsi="宋体" w:eastAsia="宋体"/>
          <w:b/>
          <w:bCs/>
          <w:color w:val="00B0F0"/>
          <w:sz w:val="24"/>
          <w:szCs w:val="24"/>
        </w:rPr>
        <w:t>，</w:t>
      </w:r>
      <w:r>
        <w:rPr>
          <w:rFonts w:ascii="宋体" w:hAnsi="宋体" w:eastAsia="宋体"/>
          <w:b/>
          <w:bCs/>
          <w:color w:val="00B0F0"/>
          <w:sz w:val="24"/>
          <w:szCs w:val="24"/>
        </w:rPr>
        <w:t>通信电缆RVSP-2*1.0/线径φ10.0mm），</w:t>
      </w:r>
      <w:r>
        <w:rPr>
          <w:rFonts w:hint="eastAsia" w:ascii="宋体" w:hAnsi="宋体" w:eastAsia="宋体"/>
          <w:b/>
          <w:bCs/>
          <w:color w:val="00B0F0"/>
          <w:sz w:val="24"/>
          <w:szCs w:val="24"/>
        </w:rPr>
        <w:t>发货时需要分类标识清楚，便于现场查找与安装</w:t>
      </w:r>
      <w:r>
        <w:rPr>
          <w:rFonts w:ascii="宋体" w:hAnsi="宋体" w:eastAsia="宋体"/>
          <w:b/>
          <w:bCs/>
          <w:color w:val="00B0F0"/>
          <w:sz w:val="24"/>
          <w:szCs w:val="24"/>
        </w:rPr>
        <w:t>。</w:t>
      </w:r>
    </w:p>
    <w:p w14:paraId="77118F14">
      <w:pPr>
        <w:spacing w:line="360" w:lineRule="auto"/>
        <w:rPr>
          <w:rFonts w:ascii="宋体" w:hAnsi="宋体" w:eastAsia="宋体"/>
          <w:b/>
          <w:bCs/>
          <w:color w:val="00B0F0"/>
          <w:sz w:val="24"/>
          <w:szCs w:val="24"/>
          <w:highlight w:val="yellow"/>
        </w:rPr>
      </w:pPr>
      <w:r>
        <w:drawing>
          <wp:inline distT="0" distB="0" distL="0" distR="0">
            <wp:extent cx="5274310" cy="1391285"/>
            <wp:effectExtent l="0" t="0" r="254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5"/>
                    <a:stretch>
                      <a:fillRect/>
                    </a:stretch>
                  </pic:blipFill>
                  <pic:spPr>
                    <a:xfrm>
                      <a:off x="0" y="0"/>
                      <a:ext cx="5274310" cy="1391285"/>
                    </a:xfrm>
                    <a:prstGeom prst="rect">
                      <a:avLst/>
                    </a:prstGeom>
                  </pic:spPr>
                </pic:pic>
              </a:graphicData>
            </a:graphic>
          </wp:inline>
        </w:drawing>
      </w:r>
    </w:p>
    <w:p w14:paraId="65DB4D0C">
      <w:pPr>
        <w:pStyle w:val="18"/>
        <w:numPr>
          <w:ilvl w:val="0"/>
          <w:numId w:val="9"/>
        </w:numPr>
        <w:spacing w:line="360" w:lineRule="auto"/>
        <w:ind w:left="0" w:firstLine="482"/>
        <w:rPr>
          <w:rFonts w:ascii="宋体" w:hAnsi="宋体" w:eastAsia="宋体"/>
          <w:b/>
          <w:bCs/>
          <w:color w:val="00B0F0"/>
          <w:sz w:val="24"/>
          <w:szCs w:val="24"/>
        </w:rPr>
      </w:pPr>
      <w:r>
        <w:rPr>
          <w:rFonts w:hint="eastAsia" w:ascii="宋体" w:hAnsi="宋体" w:eastAsia="宋体"/>
          <w:b/>
          <w:bCs/>
          <w:color w:val="00B0F0"/>
          <w:sz w:val="24"/>
          <w:szCs w:val="24"/>
        </w:rPr>
        <w:t>隔膜压力表测量面应为膜片形式，防止被物料堵塞，按照招标人要求的螺纹规格配置，如下图所示，按照法兰隔膜形式或者螺纹端部为齐平膜形式。</w:t>
      </w:r>
    </w:p>
    <w:p w14:paraId="7D1AC5FD">
      <w:pPr>
        <w:spacing w:line="360" w:lineRule="auto"/>
        <w:jc w:val="center"/>
        <w:rPr>
          <w:rFonts w:ascii="宋体" w:hAnsi="宋体" w:eastAsia="宋体"/>
          <w:sz w:val="24"/>
          <w:szCs w:val="24"/>
        </w:rPr>
      </w:pPr>
      <w:r>
        <w:drawing>
          <wp:inline distT="0" distB="0" distL="0" distR="0">
            <wp:extent cx="1506855" cy="2337435"/>
            <wp:effectExtent l="0" t="0" r="0" b="5715"/>
            <wp:docPr id="67374475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3744751" name="图片 1"/>
                    <pic:cNvPicPr>
                      <a:picLocks noChangeAspect="1"/>
                    </pic:cNvPicPr>
                  </pic:nvPicPr>
                  <pic:blipFill>
                    <a:blip r:embed="rId6"/>
                    <a:stretch>
                      <a:fillRect/>
                    </a:stretch>
                  </pic:blipFill>
                  <pic:spPr>
                    <a:xfrm>
                      <a:off x="0" y="0"/>
                      <a:ext cx="1516169" cy="2351447"/>
                    </a:xfrm>
                    <a:prstGeom prst="rect">
                      <a:avLst/>
                    </a:prstGeom>
                  </pic:spPr>
                </pic:pic>
              </a:graphicData>
            </a:graphic>
          </wp:inline>
        </w:drawing>
      </w:r>
      <w:r>
        <w:rPr>
          <w:rFonts w:hint="eastAsia" w:ascii="宋体" w:hAnsi="宋体" w:eastAsia="宋体"/>
          <w:b/>
          <w:bCs/>
          <w:sz w:val="24"/>
          <w:szCs w:val="24"/>
        </w:rPr>
        <w:t xml:space="preserve"> 或 </w:t>
      </w:r>
      <w:r>
        <w:drawing>
          <wp:inline distT="0" distB="0" distL="0" distR="0">
            <wp:extent cx="2246630" cy="2346325"/>
            <wp:effectExtent l="0" t="0" r="1270" b="0"/>
            <wp:docPr id="121332189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3321896" name="图片 1"/>
                    <pic:cNvPicPr>
                      <a:picLocks noChangeAspect="1"/>
                    </pic:cNvPicPr>
                  </pic:nvPicPr>
                  <pic:blipFill>
                    <a:blip r:embed="rId7"/>
                    <a:stretch>
                      <a:fillRect/>
                    </a:stretch>
                  </pic:blipFill>
                  <pic:spPr>
                    <a:xfrm>
                      <a:off x="0" y="0"/>
                      <a:ext cx="2253670" cy="2353249"/>
                    </a:xfrm>
                    <a:prstGeom prst="rect">
                      <a:avLst/>
                    </a:prstGeom>
                  </pic:spPr>
                </pic:pic>
              </a:graphicData>
            </a:graphic>
          </wp:inline>
        </w:drawing>
      </w:r>
    </w:p>
    <w:p w14:paraId="5A8D860E">
      <w:pPr>
        <w:pStyle w:val="18"/>
        <w:numPr>
          <w:ilvl w:val="0"/>
          <w:numId w:val="9"/>
        </w:numPr>
        <w:spacing w:line="360" w:lineRule="auto"/>
        <w:ind w:left="0" w:firstLine="482"/>
        <w:rPr>
          <w:rFonts w:ascii="宋体" w:hAnsi="宋体" w:eastAsia="宋体"/>
          <w:b/>
          <w:bCs/>
          <w:color w:val="00B0F0"/>
          <w:sz w:val="24"/>
          <w:szCs w:val="24"/>
        </w:rPr>
      </w:pPr>
      <w:r>
        <w:rPr>
          <w:rFonts w:hint="eastAsia" w:ascii="宋体" w:hAnsi="宋体" w:eastAsia="宋体"/>
          <w:b/>
          <w:bCs/>
          <w:color w:val="00B0F0"/>
          <w:sz w:val="24"/>
          <w:szCs w:val="24"/>
        </w:rPr>
        <w:t>温度传感器和温度计全部采用焊接保护套管型式，如下图所示，保护套管的焊接头高度H和L的长度约定如下图所示</w:t>
      </w:r>
      <w:r>
        <w:rPr>
          <w:rFonts w:ascii="宋体" w:hAnsi="宋体" w:eastAsia="宋体"/>
          <w:b/>
          <w:bCs/>
          <w:color w:val="00B0F0"/>
          <w:sz w:val="24"/>
          <w:szCs w:val="24"/>
        </w:rPr>
        <w:t>。</w:t>
      </w:r>
    </w:p>
    <w:p w14:paraId="67ADEC85">
      <w:pPr>
        <w:spacing w:line="360" w:lineRule="auto"/>
        <w:jc w:val="center"/>
        <w:rPr>
          <w:rFonts w:ascii="宋体" w:hAnsi="宋体" w:eastAsia="宋体"/>
          <w:sz w:val="24"/>
          <w:szCs w:val="24"/>
        </w:rPr>
      </w:pPr>
      <w:r>
        <w:drawing>
          <wp:inline distT="0" distB="0" distL="0" distR="0">
            <wp:extent cx="4134485" cy="2548255"/>
            <wp:effectExtent l="0" t="0" r="0" b="4445"/>
            <wp:docPr id="54632706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6327062" name="图片 1"/>
                    <pic:cNvPicPr>
                      <a:picLocks noChangeAspect="1"/>
                    </pic:cNvPicPr>
                  </pic:nvPicPr>
                  <pic:blipFill>
                    <a:blip r:embed="rId8"/>
                    <a:stretch>
                      <a:fillRect/>
                    </a:stretch>
                  </pic:blipFill>
                  <pic:spPr>
                    <a:xfrm>
                      <a:off x="0" y="0"/>
                      <a:ext cx="4209370" cy="2594241"/>
                    </a:xfrm>
                    <a:prstGeom prst="rect">
                      <a:avLst/>
                    </a:prstGeom>
                  </pic:spPr>
                </pic:pic>
              </a:graphicData>
            </a:graphic>
          </wp:inline>
        </w:drawing>
      </w:r>
    </w:p>
    <w:p w14:paraId="53E99AAF">
      <w:pPr>
        <w:pStyle w:val="18"/>
        <w:numPr>
          <w:ilvl w:val="0"/>
          <w:numId w:val="9"/>
        </w:numPr>
        <w:spacing w:line="360" w:lineRule="auto"/>
        <w:ind w:left="0" w:firstLine="482"/>
        <w:rPr>
          <w:rFonts w:ascii="宋体" w:hAnsi="宋体" w:eastAsia="宋体"/>
          <w:b/>
          <w:bCs/>
          <w:color w:val="00B0F0"/>
          <w:sz w:val="24"/>
          <w:szCs w:val="24"/>
        </w:rPr>
      </w:pPr>
      <w:r>
        <w:rPr>
          <w:rFonts w:hint="eastAsia" w:ascii="宋体" w:hAnsi="宋体" w:eastAsia="宋体"/>
          <w:b/>
          <w:bCs/>
          <w:color w:val="00B0F0"/>
          <w:sz w:val="24"/>
          <w:szCs w:val="24"/>
        </w:rPr>
        <w:t>仪表本体材质、测量端材质及附件材质按照仪表清单约定执行，仪表其余材质要求：仪表本体上的紧固螺栓严格采用不锈钢3</w:t>
      </w:r>
      <w:r>
        <w:rPr>
          <w:rFonts w:ascii="宋体" w:hAnsi="宋体" w:eastAsia="宋体"/>
          <w:b/>
          <w:bCs/>
          <w:color w:val="00B0F0"/>
          <w:sz w:val="24"/>
          <w:szCs w:val="24"/>
        </w:rPr>
        <w:t>04</w:t>
      </w:r>
      <w:r>
        <w:rPr>
          <w:rFonts w:hint="eastAsia" w:ascii="宋体" w:hAnsi="宋体" w:eastAsia="宋体"/>
          <w:b/>
          <w:bCs/>
          <w:color w:val="00B0F0"/>
          <w:sz w:val="24"/>
          <w:szCs w:val="24"/>
        </w:rPr>
        <w:t>及以上材质，仪表如有配对法兰严格要求采用不锈钢3</w:t>
      </w:r>
      <w:r>
        <w:rPr>
          <w:rFonts w:ascii="宋体" w:hAnsi="宋体" w:eastAsia="宋体"/>
          <w:b/>
          <w:bCs/>
          <w:color w:val="00B0F0"/>
          <w:sz w:val="24"/>
          <w:szCs w:val="24"/>
        </w:rPr>
        <w:t>04</w:t>
      </w:r>
      <w:r>
        <w:rPr>
          <w:rFonts w:hint="eastAsia" w:ascii="宋体" w:hAnsi="宋体" w:eastAsia="宋体"/>
          <w:b/>
          <w:bCs/>
          <w:color w:val="00B0F0"/>
          <w:sz w:val="24"/>
          <w:szCs w:val="24"/>
        </w:rPr>
        <w:t>及以上材质</w:t>
      </w:r>
      <w:r>
        <w:rPr>
          <w:rFonts w:ascii="宋体" w:hAnsi="宋体" w:eastAsia="宋体"/>
          <w:b/>
          <w:bCs/>
          <w:color w:val="00B0F0"/>
          <w:sz w:val="24"/>
          <w:szCs w:val="24"/>
        </w:rPr>
        <w:t>。</w:t>
      </w:r>
    </w:p>
    <w:p w14:paraId="00269F0C">
      <w:pPr>
        <w:pStyle w:val="18"/>
        <w:numPr>
          <w:ilvl w:val="0"/>
          <w:numId w:val="9"/>
        </w:numPr>
        <w:spacing w:line="360" w:lineRule="auto"/>
        <w:ind w:left="0" w:firstLine="480"/>
        <w:rPr>
          <w:rFonts w:ascii="宋体" w:hAnsi="宋体" w:eastAsia="宋体"/>
          <w:bCs/>
          <w:sz w:val="24"/>
          <w:szCs w:val="24"/>
        </w:rPr>
      </w:pPr>
      <w:r>
        <w:rPr>
          <w:rFonts w:hint="eastAsia" w:ascii="宋体" w:hAnsi="宋体" w:eastAsia="宋体"/>
          <w:bCs/>
          <w:sz w:val="24"/>
          <w:szCs w:val="24"/>
        </w:rPr>
        <w:t>射频导纳物位开关插入杆选用以下形式，插入罐内部分材质S</w:t>
      </w:r>
      <w:r>
        <w:rPr>
          <w:rFonts w:ascii="宋体" w:hAnsi="宋体" w:eastAsia="宋体"/>
          <w:bCs/>
          <w:sz w:val="24"/>
          <w:szCs w:val="24"/>
        </w:rPr>
        <w:t>S316L</w:t>
      </w:r>
      <w:r>
        <w:rPr>
          <w:rFonts w:hint="eastAsia" w:ascii="宋体" w:hAnsi="宋体" w:eastAsia="宋体"/>
          <w:bCs/>
          <w:sz w:val="24"/>
          <w:szCs w:val="24"/>
        </w:rPr>
        <w:t>衬聚四氟乙烯，</w:t>
      </w:r>
      <w:r>
        <w:rPr>
          <w:rFonts w:ascii="宋体" w:hAnsi="宋体" w:eastAsia="宋体"/>
          <w:b/>
          <w:color w:val="FF0000"/>
          <w:sz w:val="24"/>
          <w:szCs w:val="24"/>
          <w:highlight w:val="yellow"/>
        </w:rPr>
        <w:t>需采取有效防护措施，避免球阀刮破聚四氟乙烯</w:t>
      </w:r>
      <w:r>
        <w:rPr>
          <w:rFonts w:hint="eastAsia" w:ascii="宋体" w:hAnsi="宋体" w:eastAsia="宋体"/>
          <w:b/>
          <w:color w:val="FF0000"/>
          <w:sz w:val="24"/>
          <w:szCs w:val="24"/>
          <w:highlight w:val="yellow"/>
        </w:rPr>
        <w:t>保护层</w:t>
      </w:r>
      <w:r>
        <w:rPr>
          <w:rFonts w:hint="eastAsia" w:ascii="宋体" w:hAnsi="宋体" w:eastAsia="宋体"/>
          <w:b/>
          <w:bCs/>
          <w:color w:val="FF0000"/>
          <w:sz w:val="24"/>
          <w:szCs w:val="24"/>
          <w:highlight w:val="yellow"/>
        </w:rPr>
        <w:t>。</w:t>
      </w:r>
    </w:p>
    <w:p w14:paraId="3648E2F5">
      <w:pPr>
        <w:spacing w:line="360" w:lineRule="auto"/>
        <w:jc w:val="center"/>
        <w:rPr>
          <w:rFonts w:ascii="宋体" w:hAnsi="宋体" w:eastAsia="宋体"/>
          <w:sz w:val="24"/>
          <w:szCs w:val="24"/>
        </w:rPr>
      </w:pPr>
      <w:r>
        <w:drawing>
          <wp:inline distT="0" distB="0" distL="0" distR="0">
            <wp:extent cx="3902710" cy="1930400"/>
            <wp:effectExtent l="0" t="0" r="254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9"/>
                    <a:stretch>
                      <a:fillRect/>
                    </a:stretch>
                  </pic:blipFill>
                  <pic:spPr>
                    <a:xfrm>
                      <a:off x="0" y="0"/>
                      <a:ext cx="3922283" cy="1939892"/>
                    </a:xfrm>
                    <a:prstGeom prst="rect">
                      <a:avLst/>
                    </a:prstGeom>
                  </pic:spPr>
                </pic:pic>
              </a:graphicData>
            </a:graphic>
          </wp:inline>
        </w:drawing>
      </w:r>
    </w:p>
    <w:p w14:paraId="7577ADB8">
      <w:pPr>
        <w:spacing w:line="360" w:lineRule="auto"/>
        <w:rPr>
          <w:rFonts w:ascii="宋体" w:hAnsi="宋体" w:eastAsia="宋体"/>
          <w:sz w:val="24"/>
          <w:szCs w:val="24"/>
        </w:rPr>
      </w:pPr>
    </w:p>
    <w:p w14:paraId="2D88E467">
      <w:pPr>
        <w:pStyle w:val="18"/>
        <w:keepNext/>
        <w:keepLines/>
        <w:numPr>
          <w:ilvl w:val="0"/>
          <w:numId w:val="2"/>
        </w:numPr>
        <w:spacing w:line="360" w:lineRule="auto"/>
        <w:ind w:firstLineChars="0"/>
        <w:outlineLvl w:val="0"/>
        <w:rPr>
          <w:rFonts w:ascii="宋体" w:hAnsi="宋体" w:eastAsia="宋体"/>
          <w:b/>
          <w:sz w:val="28"/>
          <w:szCs w:val="24"/>
        </w:rPr>
      </w:pPr>
      <w:bookmarkStart w:id="4" w:name="_Toc102664827"/>
      <w:bookmarkStart w:id="5" w:name="_Toc2460"/>
      <w:bookmarkStart w:id="6" w:name="_Toc138680820"/>
      <w:r>
        <w:rPr>
          <w:rFonts w:ascii="宋体" w:hAnsi="宋体" w:eastAsia="宋体"/>
          <w:b/>
          <w:sz w:val="28"/>
          <w:szCs w:val="24"/>
        </w:rPr>
        <w:t>性能保证</w:t>
      </w:r>
      <w:bookmarkEnd w:id="4"/>
      <w:bookmarkEnd w:id="5"/>
      <w:bookmarkEnd w:id="6"/>
      <w:bookmarkStart w:id="7" w:name="_Toc201368086"/>
      <w:bookmarkStart w:id="8" w:name="_Toc251337924"/>
    </w:p>
    <w:bookmarkEnd w:id="7"/>
    <w:bookmarkEnd w:id="8"/>
    <w:p w14:paraId="77AEFBC3">
      <w:pPr>
        <w:pStyle w:val="18"/>
        <w:numPr>
          <w:ilvl w:val="0"/>
          <w:numId w:val="10"/>
        </w:numPr>
        <w:spacing w:line="360" w:lineRule="auto"/>
        <w:ind w:left="0" w:firstLine="480"/>
        <w:rPr>
          <w:rFonts w:ascii="宋体" w:hAnsi="宋体" w:eastAsia="宋体"/>
          <w:sz w:val="24"/>
          <w:szCs w:val="24"/>
        </w:rPr>
      </w:pPr>
      <w:r>
        <w:rPr>
          <w:rFonts w:hint="eastAsia" w:ascii="宋体" w:hAnsi="宋体" w:eastAsia="宋体"/>
          <w:sz w:val="24"/>
          <w:szCs w:val="24"/>
        </w:rPr>
        <w:t>所供产品应满足本协议书、供货清单所提的技术要求。</w:t>
      </w:r>
    </w:p>
    <w:p w14:paraId="28375AA5">
      <w:pPr>
        <w:pStyle w:val="18"/>
        <w:numPr>
          <w:ilvl w:val="0"/>
          <w:numId w:val="10"/>
        </w:numPr>
        <w:spacing w:line="360" w:lineRule="auto"/>
        <w:ind w:left="0" w:firstLine="480"/>
        <w:rPr>
          <w:rFonts w:ascii="宋体" w:hAnsi="宋体" w:eastAsia="宋体"/>
          <w:sz w:val="24"/>
          <w:szCs w:val="24"/>
        </w:rPr>
      </w:pPr>
      <w:r>
        <w:rPr>
          <w:rFonts w:hint="eastAsia" w:ascii="宋体" w:hAnsi="宋体" w:eastAsia="宋体"/>
          <w:sz w:val="24"/>
          <w:szCs w:val="24"/>
        </w:rPr>
        <w:t>投标人应具备有效方法，控制所有外协、外购件的质量和服务，使其符合本技术协议的要求。</w:t>
      </w:r>
    </w:p>
    <w:p w14:paraId="6E9D331F">
      <w:pPr>
        <w:pStyle w:val="18"/>
        <w:numPr>
          <w:ilvl w:val="0"/>
          <w:numId w:val="10"/>
        </w:numPr>
        <w:spacing w:line="360" w:lineRule="auto"/>
        <w:ind w:left="0" w:firstLine="480"/>
        <w:rPr>
          <w:rFonts w:ascii="宋体" w:hAnsi="宋体" w:eastAsia="宋体"/>
          <w:sz w:val="24"/>
          <w:szCs w:val="21"/>
        </w:rPr>
      </w:pPr>
      <w:r>
        <w:rPr>
          <w:rFonts w:hint="eastAsia" w:ascii="宋体" w:hAnsi="宋体" w:eastAsia="宋体"/>
          <w:sz w:val="24"/>
          <w:szCs w:val="24"/>
        </w:rPr>
        <w:t>招标人有权派代表到投标人工厂和分包及外购件工厂检查制造过程，检查按合同交付的货物质量，检验按合同交付的元件、组件及使用材料是否符合标准及其它合同上规定的要求，并参加合同规定由投标人进行的一些元件试验和整个装配件的试验。投标人应提供给招标人代表技术文件及图纸，试验及检验所必需的仪器工具、办公用具。</w:t>
      </w:r>
    </w:p>
    <w:p w14:paraId="01900036">
      <w:pPr>
        <w:pStyle w:val="18"/>
        <w:numPr>
          <w:ilvl w:val="0"/>
          <w:numId w:val="10"/>
        </w:numPr>
        <w:spacing w:line="360" w:lineRule="auto"/>
        <w:ind w:left="0" w:firstLine="480"/>
        <w:rPr>
          <w:rFonts w:ascii="宋体" w:hAnsi="宋体" w:eastAsia="宋体"/>
          <w:sz w:val="24"/>
          <w:szCs w:val="24"/>
        </w:rPr>
      </w:pPr>
      <w:r>
        <w:rPr>
          <w:rFonts w:ascii="宋体" w:hAnsi="宋体" w:eastAsia="宋体"/>
          <w:sz w:val="24"/>
          <w:szCs w:val="24"/>
        </w:rPr>
        <w:t>机械制造保证：保证在满足ISO9000的要求下，进行质量控制，在原材料采购、制造、加工、组装、检验期间执行完整和优等的质量控制，使之达到优良的质量，并随设备提供全部相关的性能测试文件。</w:t>
      </w:r>
    </w:p>
    <w:p w14:paraId="0C64B5E4">
      <w:pPr>
        <w:pStyle w:val="18"/>
        <w:numPr>
          <w:ilvl w:val="0"/>
          <w:numId w:val="10"/>
        </w:numPr>
        <w:spacing w:line="360" w:lineRule="auto"/>
        <w:ind w:left="0" w:firstLine="482"/>
        <w:rPr>
          <w:rFonts w:ascii="宋体" w:hAnsi="宋体" w:eastAsia="宋体"/>
          <w:b/>
          <w:color w:val="00B0F0"/>
          <w:sz w:val="24"/>
          <w:szCs w:val="24"/>
        </w:rPr>
      </w:pPr>
      <w:r>
        <w:rPr>
          <w:rFonts w:hint="eastAsia" w:ascii="宋体" w:hAnsi="宋体" w:eastAsia="宋体"/>
          <w:b/>
          <w:color w:val="00B0F0"/>
          <w:sz w:val="24"/>
          <w:szCs w:val="24"/>
        </w:rPr>
        <w:t>所有输出4-20</w:t>
      </w:r>
      <w:r>
        <w:rPr>
          <w:rFonts w:ascii="宋体" w:hAnsi="宋体" w:eastAsia="宋体"/>
          <w:b/>
          <w:color w:val="00B0F0"/>
          <w:sz w:val="24"/>
          <w:szCs w:val="24"/>
        </w:rPr>
        <w:t>mA</w:t>
      </w:r>
      <w:r>
        <w:rPr>
          <w:rFonts w:hint="eastAsia" w:ascii="宋体" w:hAnsi="宋体" w:eastAsia="宋体"/>
          <w:b/>
          <w:color w:val="00B0F0"/>
          <w:sz w:val="24"/>
          <w:szCs w:val="24"/>
        </w:rPr>
        <w:t>信号的仪表需要配置隔离抗干扰的功能，避免周边电机设备的电磁干扰，确保测量精度的准确性、稳定性，避免数值出现过大的跳动，所选量程和要求量程应接近，不能过大，确保精度。</w:t>
      </w:r>
    </w:p>
    <w:p w14:paraId="0EA2ADFF">
      <w:pPr>
        <w:pStyle w:val="18"/>
        <w:numPr>
          <w:ilvl w:val="0"/>
          <w:numId w:val="10"/>
        </w:numPr>
        <w:spacing w:line="360" w:lineRule="auto"/>
        <w:ind w:left="0" w:firstLine="480"/>
        <w:rPr>
          <w:rFonts w:ascii="宋体" w:hAnsi="宋体" w:eastAsia="宋体"/>
          <w:sz w:val="24"/>
          <w:szCs w:val="24"/>
        </w:rPr>
      </w:pPr>
      <w:r>
        <w:rPr>
          <w:rFonts w:hint="eastAsia" w:ascii="宋体" w:hAnsi="宋体" w:eastAsia="宋体"/>
          <w:sz w:val="24"/>
          <w:szCs w:val="24"/>
        </w:rPr>
        <w:t>如在安装和试运期间发现零部件的缺陷、损坏情况，在证实设备储存、安装、维护和运行都符合要求时，投标人应尽快免费更换。</w:t>
      </w:r>
    </w:p>
    <w:p w14:paraId="09830953">
      <w:pPr>
        <w:spacing w:line="360" w:lineRule="auto"/>
        <w:rPr>
          <w:rFonts w:ascii="宋体" w:hAnsi="宋体" w:eastAsia="宋体"/>
          <w:sz w:val="24"/>
          <w:szCs w:val="24"/>
        </w:rPr>
      </w:pPr>
    </w:p>
    <w:p w14:paraId="03095FA4">
      <w:pPr>
        <w:pStyle w:val="18"/>
        <w:keepNext/>
        <w:keepLines/>
        <w:numPr>
          <w:ilvl w:val="0"/>
          <w:numId w:val="2"/>
        </w:numPr>
        <w:spacing w:line="360" w:lineRule="auto"/>
        <w:ind w:firstLineChars="0"/>
        <w:outlineLvl w:val="0"/>
        <w:rPr>
          <w:rFonts w:ascii="宋体" w:hAnsi="宋体" w:eastAsia="宋体"/>
          <w:b/>
          <w:sz w:val="28"/>
          <w:szCs w:val="24"/>
        </w:rPr>
      </w:pPr>
      <w:bookmarkStart w:id="9" w:name="_Toc138680821"/>
      <w:r>
        <w:rPr>
          <w:rFonts w:hint="eastAsia" w:ascii="宋体" w:hAnsi="宋体" w:eastAsia="宋体"/>
          <w:b/>
          <w:sz w:val="28"/>
          <w:szCs w:val="24"/>
        </w:rPr>
        <w:t>包装和运输</w:t>
      </w:r>
      <w:bookmarkEnd w:id="9"/>
    </w:p>
    <w:p w14:paraId="19A6C9AF">
      <w:pPr>
        <w:pStyle w:val="18"/>
        <w:numPr>
          <w:ilvl w:val="0"/>
          <w:numId w:val="11"/>
        </w:numPr>
        <w:spacing w:line="360" w:lineRule="auto"/>
        <w:ind w:left="0" w:firstLine="480"/>
        <w:rPr>
          <w:rFonts w:ascii="宋体" w:hAnsi="宋体" w:eastAsia="宋体"/>
          <w:sz w:val="24"/>
          <w:szCs w:val="24"/>
        </w:rPr>
      </w:pPr>
      <w:r>
        <w:rPr>
          <w:rFonts w:hint="eastAsia" w:ascii="宋体" w:hAnsi="宋体" w:eastAsia="宋体"/>
          <w:sz w:val="24"/>
          <w:szCs w:val="24"/>
        </w:rPr>
        <w:t>交货地点：招标人项目地点</w:t>
      </w:r>
    </w:p>
    <w:p w14:paraId="2E93ED68">
      <w:pPr>
        <w:pStyle w:val="18"/>
        <w:numPr>
          <w:ilvl w:val="0"/>
          <w:numId w:val="11"/>
        </w:numPr>
        <w:spacing w:line="360" w:lineRule="auto"/>
        <w:ind w:left="0" w:firstLine="480"/>
        <w:rPr>
          <w:rFonts w:ascii="宋体" w:hAnsi="宋体" w:eastAsia="宋体"/>
          <w:sz w:val="24"/>
          <w:szCs w:val="24"/>
        </w:rPr>
      </w:pPr>
      <w:r>
        <w:rPr>
          <w:rFonts w:hint="eastAsia" w:ascii="宋体" w:hAnsi="宋体" w:eastAsia="宋体"/>
          <w:sz w:val="24"/>
          <w:szCs w:val="24"/>
        </w:rPr>
        <w:t>包装标志：包装箱上写明仪表位号，型号、口径等信息、并便于辨认。包装箱为木质包装。</w:t>
      </w:r>
    </w:p>
    <w:p w14:paraId="7C078D6A">
      <w:pPr>
        <w:pStyle w:val="18"/>
        <w:numPr>
          <w:ilvl w:val="0"/>
          <w:numId w:val="11"/>
        </w:numPr>
        <w:spacing w:line="360" w:lineRule="auto"/>
        <w:ind w:left="0" w:firstLine="480"/>
        <w:rPr>
          <w:rFonts w:ascii="宋体" w:hAnsi="宋体" w:eastAsia="宋体"/>
          <w:sz w:val="24"/>
          <w:szCs w:val="24"/>
        </w:rPr>
      </w:pPr>
      <w:r>
        <w:rPr>
          <w:rFonts w:hint="eastAsia" w:ascii="宋体" w:hAnsi="宋体" w:eastAsia="宋体"/>
          <w:sz w:val="24"/>
          <w:szCs w:val="24"/>
        </w:rPr>
        <w:t>包装要求：</w:t>
      </w:r>
    </w:p>
    <w:p w14:paraId="62D7ADDD">
      <w:pPr>
        <w:pStyle w:val="18"/>
        <w:numPr>
          <w:ilvl w:val="0"/>
          <w:numId w:val="12"/>
        </w:numPr>
        <w:spacing w:line="360" w:lineRule="auto"/>
        <w:ind w:left="0" w:firstLine="480"/>
        <w:rPr>
          <w:rFonts w:ascii="宋体" w:hAnsi="宋体" w:eastAsia="宋体"/>
          <w:sz w:val="24"/>
          <w:szCs w:val="24"/>
        </w:rPr>
      </w:pPr>
      <w:r>
        <w:rPr>
          <w:rFonts w:hint="eastAsia" w:ascii="宋体" w:hAnsi="宋体" w:eastAsia="宋体"/>
          <w:sz w:val="24"/>
          <w:szCs w:val="24"/>
        </w:rPr>
        <w:t>供方对货物的包装采用结实的、适合于长距离的公路、铁路、航空、海路运输，适于搬运、吊装的包装。包装能防潮、防尘、防盐雾并能承受在运输和装卸过程中的冲击和碰撞。</w:t>
      </w:r>
    </w:p>
    <w:p w14:paraId="0735EB6E">
      <w:pPr>
        <w:pStyle w:val="18"/>
        <w:numPr>
          <w:ilvl w:val="0"/>
          <w:numId w:val="12"/>
        </w:numPr>
        <w:spacing w:line="360" w:lineRule="auto"/>
        <w:ind w:left="0" w:firstLine="480"/>
        <w:rPr>
          <w:rFonts w:ascii="宋体" w:hAnsi="宋体" w:eastAsia="宋体"/>
          <w:sz w:val="24"/>
          <w:szCs w:val="24"/>
        </w:rPr>
      </w:pPr>
      <w:r>
        <w:rPr>
          <w:rFonts w:hint="eastAsia" w:ascii="宋体" w:hAnsi="宋体" w:eastAsia="宋体"/>
          <w:sz w:val="24"/>
          <w:szCs w:val="24"/>
        </w:rPr>
        <w:t>所有的包装物为非归还性的，所有包装和包装材料费用已包括在报价中。并注明：货物名称（并标明设备位号、工序名称）、数量、规格型号、防潮、小心搬动、以及向上标记和起吊位置标记等。</w:t>
      </w:r>
    </w:p>
    <w:p w14:paraId="3A957CE7">
      <w:pPr>
        <w:pStyle w:val="18"/>
        <w:numPr>
          <w:ilvl w:val="0"/>
          <w:numId w:val="12"/>
        </w:numPr>
        <w:spacing w:line="360" w:lineRule="auto"/>
        <w:ind w:left="0" w:firstLine="480"/>
        <w:rPr>
          <w:rFonts w:ascii="宋体" w:hAnsi="宋体" w:eastAsia="宋体"/>
          <w:sz w:val="24"/>
          <w:szCs w:val="24"/>
        </w:rPr>
      </w:pPr>
      <w:r>
        <w:rPr>
          <w:rFonts w:hint="eastAsia" w:ascii="宋体" w:hAnsi="宋体" w:eastAsia="宋体"/>
          <w:sz w:val="24"/>
          <w:szCs w:val="24"/>
        </w:rPr>
        <w:t>仪表在包装箱中做好固定，以减少运输过程中的震动，包装箱外表面须注明防水、防震、防倒置标志。</w:t>
      </w:r>
    </w:p>
    <w:p w14:paraId="13E58EA0">
      <w:pPr>
        <w:pStyle w:val="18"/>
        <w:numPr>
          <w:ilvl w:val="0"/>
          <w:numId w:val="12"/>
        </w:numPr>
        <w:spacing w:line="360" w:lineRule="auto"/>
        <w:ind w:left="0" w:firstLine="480"/>
        <w:rPr>
          <w:rFonts w:ascii="宋体" w:hAnsi="宋体" w:eastAsia="宋体"/>
          <w:sz w:val="24"/>
          <w:szCs w:val="24"/>
        </w:rPr>
      </w:pPr>
      <w:r>
        <w:rPr>
          <w:rFonts w:hint="eastAsia" w:ascii="宋体" w:hAnsi="宋体" w:eastAsia="宋体"/>
          <w:sz w:val="24"/>
          <w:szCs w:val="24"/>
        </w:rPr>
        <w:t>包装箱封箱前，装箱人应对照发货通知单逐一核对产品规格、数量，防止错发、漏发，并检查随机质保文件是否齐全（如合格证、检验报告、产品说明书等）。然后对照发货通知单和箱内产品逐一核对认真填写装箱单。</w:t>
      </w:r>
      <w:r>
        <w:rPr>
          <w:rFonts w:hint="eastAsia" w:ascii="宋体" w:hAnsi="宋体" w:eastAsia="宋体"/>
          <w:b/>
          <w:sz w:val="24"/>
          <w:szCs w:val="24"/>
        </w:rPr>
        <w:t>每个包装箱还应有对应的装箱清单，包含的内容包括但不限于：所属车间、仪表名称、仪表位号、仪表类型等相关信息。</w:t>
      </w:r>
    </w:p>
    <w:p w14:paraId="689D4865">
      <w:pPr>
        <w:spacing w:line="360" w:lineRule="auto"/>
        <w:rPr>
          <w:rFonts w:ascii="宋体" w:hAnsi="宋体" w:eastAsia="宋体"/>
          <w:sz w:val="24"/>
          <w:szCs w:val="24"/>
        </w:rPr>
      </w:pPr>
    </w:p>
    <w:p w14:paraId="74EF3456">
      <w:pPr>
        <w:pStyle w:val="18"/>
        <w:keepNext/>
        <w:keepLines/>
        <w:numPr>
          <w:ilvl w:val="0"/>
          <w:numId w:val="2"/>
        </w:numPr>
        <w:spacing w:line="360" w:lineRule="auto"/>
        <w:ind w:firstLineChars="0"/>
        <w:outlineLvl w:val="0"/>
        <w:rPr>
          <w:rFonts w:ascii="宋体" w:hAnsi="宋体" w:eastAsia="宋体"/>
          <w:b/>
          <w:sz w:val="28"/>
          <w:szCs w:val="24"/>
        </w:rPr>
      </w:pPr>
      <w:bookmarkStart w:id="10" w:name="_Toc138680822"/>
      <w:r>
        <w:rPr>
          <w:rFonts w:hint="eastAsia" w:ascii="宋体" w:hAnsi="宋体" w:eastAsia="宋体"/>
          <w:b/>
          <w:sz w:val="28"/>
          <w:szCs w:val="24"/>
        </w:rPr>
        <w:t>验收</w:t>
      </w:r>
      <w:bookmarkEnd w:id="10"/>
    </w:p>
    <w:p w14:paraId="17B7CBCB">
      <w:pPr>
        <w:spacing w:line="360" w:lineRule="auto"/>
        <w:ind w:firstLine="480" w:firstLineChars="200"/>
        <w:rPr>
          <w:rFonts w:ascii="宋体" w:hAnsi="宋体" w:eastAsia="宋体"/>
          <w:kern w:val="24"/>
          <w:sz w:val="24"/>
        </w:rPr>
      </w:pPr>
      <w:r>
        <w:rPr>
          <w:rFonts w:hint="eastAsia" w:ascii="宋体" w:hAnsi="宋体" w:eastAsia="宋体"/>
          <w:kern w:val="24"/>
          <w:sz w:val="24"/>
        </w:rPr>
        <w:t>按主合同条款执行。</w:t>
      </w:r>
    </w:p>
    <w:p w14:paraId="0111EAAA">
      <w:pPr>
        <w:spacing w:line="360" w:lineRule="auto"/>
        <w:rPr>
          <w:rFonts w:ascii="宋体" w:hAnsi="宋体" w:eastAsia="宋体"/>
          <w:sz w:val="24"/>
          <w:szCs w:val="24"/>
        </w:rPr>
      </w:pPr>
    </w:p>
    <w:p w14:paraId="27642CEA">
      <w:pPr>
        <w:pStyle w:val="18"/>
        <w:keepNext/>
        <w:keepLines/>
        <w:numPr>
          <w:ilvl w:val="0"/>
          <w:numId w:val="2"/>
        </w:numPr>
        <w:spacing w:line="360" w:lineRule="auto"/>
        <w:ind w:firstLineChars="0"/>
        <w:outlineLvl w:val="0"/>
        <w:rPr>
          <w:rFonts w:ascii="宋体" w:hAnsi="宋体" w:eastAsia="宋体"/>
          <w:b/>
          <w:sz w:val="28"/>
          <w:szCs w:val="24"/>
        </w:rPr>
      </w:pPr>
      <w:bookmarkStart w:id="11" w:name="_Toc138680823"/>
      <w:r>
        <w:rPr>
          <w:rFonts w:hint="eastAsia" w:ascii="宋体" w:hAnsi="宋体" w:eastAsia="宋体"/>
          <w:b/>
          <w:sz w:val="28"/>
          <w:szCs w:val="24"/>
        </w:rPr>
        <w:t>质量保证</w:t>
      </w:r>
      <w:bookmarkEnd w:id="11"/>
    </w:p>
    <w:p w14:paraId="491BC67B">
      <w:pPr>
        <w:spacing w:line="360" w:lineRule="auto"/>
        <w:ind w:firstLine="482" w:firstLineChars="200"/>
        <w:rPr>
          <w:rFonts w:ascii="宋体" w:hAnsi="宋体" w:eastAsia="宋体"/>
          <w:kern w:val="24"/>
          <w:sz w:val="24"/>
        </w:rPr>
      </w:pPr>
      <w:bookmarkStart w:id="12" w:name="_Toc102664832"/>
      <w:bookmarkStart w:id="13" w:name="_Toc17013"/>
      <w:bookmarkStart w:id="14" w:name="_Toc410227134"/>
      <w:r>
        <w:rPr>
          <w:rFonts w:hint="eastAsia" w:ascii="宋体" w:hAnsi="宋体" w:eastAsia="宋体"/>
          <w:b/>
          <w:kern w:val="24"/>
          <w:sz w:val="24"/>
        </w:rPr>
        <w:t>质保期内未达到性能保证的处理方法</w:t>
      </w:r>
      <w:bookmarkEnd w:id="12"/>
      <w:bookmarkEnd w:id="13"/>
      <w:bookmarkEnd w:id="14"/>
      <w:r>
        <w:rPr>
          <w:rFonts w:hint="eastAsia" w:ascii="宋体" w:hAnsi="宋体" w:eastAsia="宋体"/>
          <w:b/>
          <w:kern w:val="24"/>
          <w:sz w:val="24"/>
        </w:rPr>
        <w:t>：</w:t>
      </w:r>
      <w:r>
        <w:rPr>
          <w:rFonts w:hint="eastAsia" w:ascii="宋体" w:hAnsi="宋体" w:eastAsia="宋体"/>
          <w:kern w:val="24"/>
          <w:sz w:val="24"/>
        </w:rPr>
        <w:t>如由于投标人初期供给的部件原因不能确保所规定的保证时，投标人将按下述方式提供部件供置换使用。</w:t>
      </w:r>
    </w:p>
    <w:p w14:paraId="499A27E0">
      <w:pPr>
        <w:pStyle w:val="18"/>
        <w:numPr>
          <w:ilvl w:val="0"/>
          <w:numId w:val="13"/>
        </w:numPr>
        <w:spacing w:line="360" w:lineRule="auto"/>
        <w:ind w:left="0" w:firstLine="480"/>
        <w:rPr>
          <w:rFonts w:ascii="宋体" w:hAnsi="宋体" w:eastAsia="宋体"/>
          <w:sz w:val="24"/>
          <w:szCs w:val="24"/>
        </w:rPr>
      </w:pPr>
      <w:r>
        <w:rPr>
          <w:rFonts w:hint="eastAsia" w:ascii="宋体" w:hAnsi="宋体" w:eastAsia="宋体"/>
          <w:sz w:val="24"/>
          <w:szCs w:val="24"/>
        </w:rPr>
        <w:t>质保期：一般是指通过性能验收合格后</w:t>
      </w:r>
      <w:r>
        <w:rPr>
          <w:rFonts w:ascii="宋体" w:hAnsi="宋体" w:eastAsia="宋体"/>
          <w:sz w:val="24"/>
          <w:szCs w:val="24"/>
        </w:rPr>
        <w:t>18</w:t>
      </w:r>
      <w:r>
        <w:rPr>
          <w:rFonts w:hint="eastAsia" w:ascii="宋体" w:hAnsi="宋体" w:eastAsia="宋体"/>
          <w:sz w:val="24"/>
          <w:szCs w:val="24"/>
        </w:rPr>
        <w:t>个月，或乙方发运的最后一批交货的设备到货之日起</w:t>
      </w:r>
      <w:r>
        <w:rPr>
          <w:rFonts w:ascii="宋体" w:hAnsi="宋体" w:eastAsia="宋体"/>
          <w:sz w:val="24"/>
          <w:szCs w:val="24"/>
        </w:rPr>
        <w:t>24</w:t>
      </w:r>
      <w:r>
        <w:rPr>
          <w:rFonts w:hint="eastAsia" w:ascii="宋体" w:hAnsi="宋体" w:eastAsia="宋体"/>
          <w:sz w:val="24"/>
          <w:szCs w:val="24"/>
        </w:rPr>
        <w:t>个月且货物未发生任何质量问题、甲方也未在此期限内提出任何质量异议，二者以先到日期为准，质保期满甲方应向乙方出具最终验收证书。</w:t>
      </w:r>
    </w:p>
    <w:p w14:paraId="39F88D99">
      <w:pPr>
        <w:pStyle w:val="18"/>
        <w:numPr>
          <w:ilvl w:val="0"/>
          <w:numId w:val="13"/>
        </w:numPr>
        <w:spacing w:line="360" w:lineRule="auto"/>
        <w:ind w:left="0" w:firstLine="480"/>
        <w:rPr>
          <w:rFonts w:ascii="宋体" w:hAnsi="宋体" w:eastAsia="宋体"/>
          <w:sz w:val="24"/>
          <w:szCs w:val="24"/>
        </w:rPr>
      </w:pPr>
      <w:r>
        <w:rPr>
          <w:rFonts w:hint="eastAsia" w:ascii="宋体" w:hAnsi="宋体" w:eastAsia="宋体"/>
          <w:sz w:val="24"/>
          <w:szCs w:val="24"/>
        </w:rPr>
        <w:t>在质保期间，如果在正常操作条件下发生部件寿命终结，则双方应进行联合调查以解决问题。如果双方认定失效的原因是由于设备缺陷或初始投标人提供指导安装的问题，并且该部件已寿命终结，则投标人应按下述方式向招标人提供置换用的新部件：自试车起，免费更换新部件。如果双方认定失效的原因是由于非正常操作或安装质量的问题，并且该部件已寿命终结，则投标人应按下述方式向招标人提供置换用的新部件：自试车起，投标人应按出厂价格向招标人提供置换用的新部件。</w:t>
      </w:r>
    </w:p>
    <w:p w14:paraId="0F5CFC87">
      <w:pPr>
        <w:pStyle w:val="18"/>
        <w:numPr>
          <w:ilvl w:val="0"/>
          <w:numId w:val="13"/>
        </w:numPr>
        <w:spacing w:line="360" w:lineRule="auto"/>
        <w:ind w:left="0" w:firstLine="482"/>
        <w:rPr>
          <w:rFonts w:ascii="宋体" w:hAnsi="宋体" w:eastAsia="宋体"/>
          <w:b/>
          <w:sz w:val="24"/>
          <w:szCs w:val="24"/>
        </w:rPr>
      </w:pPr>
      <w:r>
        <w:rPr>
          <w:rFonts w:hint="eastAsia" w:ascii="宋体" w:hAnsi="宋体" w:eastAsia="宋体"/>
          <w:b/>
          <w:sz w:val="24"/>
          <w:szCs w:val="24"/>
        </w:rPr>
        <w:t>验收不合格需整改的由供应方负责无偿整改，从整改完成验收后起计质保期。</w:t>
      </w:r>
    </w:p>
    <w:p w14:paraId="7D5087A1">
      <w:pPr>
        <w:pStyle w:val="18"/>
        <w:numPr>
          <w:ilvl w:val="0"/>
          <w:numId w:val="13"/>
        </w:numPr>
        <w:spacing w:line="360" w:lineRule="auto"/>
        <w:ind w:left="0" w:firstLine="482"/>
        <w:rPr>
          <w:rFonts w:ascii="宋体" w:hAnsi="宋体" w:eastAsia="宋体"/>
          <w:b/>
          <w:sz w:val="24"/>
          <w:szCs w:val="24"/>
        </w:rPr>
      </w:pPr>
      <w:r>
        <w:rPr>
          <w:rFonts w:hint="eastAsia" w:ascii="宋体" w:hAnsi="宋体" w:eastAsia="宋体"/>
          <w:b/>
          <w:sz w:val="24"/>
          <w:szCs w:val="24"/>
        </w:rPr>
        <w:t>供应方提供设备终身的技术服务、维修服务。</w:t>
      </w:r>
    </w:p>
    <w:p w14:paraId="15701B5C">
      <w:pPr>
        <w:pStyle w:val="18"/>
        <w:numPr>
          <w:ilvl w:val="0"/>
          <w:numId w:val="13"/>
        </w:numPr>
        <w:spacing w:line="360" w:lineRule="auto"/>
        <w:ind w:left="0" w:firstLine="480"/>
        <w:rPr>
          <w:rFonts w:ascii="宋体" w:hAnsi="宋体" w:eastAsia="宋体"/>
          <w:sz w:val="24"/>
          <w:szCs w:val="24"/>
        </w:rPr>
      </w:pPr>
      <w:r>
        <w:rPr>
          <w:rFonts w:hint="eastAsia" w:ascii="宋体" w:hAnsi="宋体" w:eastAsia="宋体"/>
          <w:sz w:val="24"/>
          <w:szCs w:val="24"/>
        </w:rPr>
        <w:t>被更换部件的质保期间。如果在分别规定的保证期内，由于投标人原因导致上述主要部件劣化或失效，则被拆除部件的保证期将终止。新安装部件的保证期自上述替换日期起计算。</w:t>
      </w:r>
    </w:p>
    <w:p w14:paraId="08D6533F">
      <w:pPr>
        <w:pStyle w:val="18"/>
        <w:numPr>
          <w:ilvl w:val="0"/>
          <w:numId w:val="13"/>
        </w:numPr>
        <w:spacing w:line="360" w:lineRule="auto"/>
        <w:ind w:left="0" w:firstLine="480"/>
        <w:rPr>
          <w:rFonts w:ascii="宋体" w:hAnsi="宋体" w:eastAsia="宋体"/>
          <w:bCs/>
          <w:sz w:val="24"/>
        </w:rPr>
      </w:pPr>
      <w:r>
        <w:rPr>
          <w:rFonts w:hint="eastAsia" w:ascii="宋体" w:hAnsi="宋体" w:eastAsia="宋体"/>
          <w:sz w:val="24"/>
          <w:szCs w:val="24"/>
        </w:rPr>
        <w:t>如果由于下述原因导致设备、零部件劣化或失效，投标人将不承担上述条款中关于劣化或失效的责任。</w:t>
      </w:r>
    </w:p>
    <w:p w14:paraId="21443B8E">
      <w:pPr>
        <w:pStyle w:val="18"/>
        <w:numPr>
          <w:ilvl w:val="0"/>
          <w:numId w:val="14"/>
        </w:numPr>
        <w:spacing w:line="360" w:lineRule="auto"/>
        <w:ind w:firstLineChars="0"/>
        <w:rPr>
          <w:rFonts w:ascii="宋体" w:hAnsi="宋体" w:eastAsia="宋体"/>
          <w:bCs/>
          <w:sz w:val="24"/>
        </w:rPr>
      </w:pPr>
      <w:r>
        <w:rPr>
          <w:rFonts w:hint="eastAsia" w:ascii="宋体" w:hAnsi="宋体" w:eastAsia="宋体"/>
          <w:bCs/>
          <w:sz w:val="24"/>
        </w:rPr>
        <w:t>招标人未能正确完成设备地基工程或正确安装建造装置中的其他设备。</w:t>
      </w:r>
    </w:p>
    <w:p w14:paraId="51AD7BBE">
      <w:pPr>
        <w:pStyle w:val="18"/>
        <w:numPr>
          <w:ilvl w:val="0"/>
          <w:numId w:val="14"/>
        </w:numPr>
        <w:spacing w:line="360" w:lineRule="auto"/>
        <w:ind w:firstLineChars="0"/>
        <w:rPr>
          <w:rFonts w:ascii="宋体" w:hAnsi="宋体" w:eastAsia="宋体"/>
          <w:bCs/>
          <w:sz w:val="24"/>
        </w:rPr>
      </w:pPr>
      <w:r>
        <w:rPr>
          <w:rFonts w:hint="eastAsia" w:ascii="宋体" w:hAnsi="宋体" w:eastAsia="宋体"/>
          <w:bCs/>
          <w:sz w:val="24"/>
        </w:rPr>
        <w:t>招标人未能正确按照投标人提供的技术文件及批准的修改文件对装置进行操作和维修。</w:t>
      </w:r>
    </w:p>
    <w:p w14:paraId="07711AF8">
      <w:pPr>
        <w:pStyle w:val="18"/>
        <w:numPr>
          <w:ilvl w:val="0"/>
          <w:numId w:val="14"/>
        </w:numPr>
        <w:spacing w:line="360" w:lineRule="auto"/>
        <w:ind w:firstLineChars="0"/>
        <w:rPr>
          <w:rFonts w:ascii="宋体" w:hAnsi="宋体" w:eastAsia="宋体"/>
          <w:bCs/>
          <w:sz w:val="24"/>
        </w:rPr>
      </w:pPr>
      <w:r>
        <w:rPr>
          <w:rFonts w:hint="eastAsia" w:ascii="宋体" w:hAnsi="宋体" w:eastAsia="宋体"/>
          <w:bCs/>
          <w:sz w:val="24"/>
        </w:rPr>
        <w:t>招标人未能正确按照所规定的质量规格、投标人提供的技术文件及批准的修改文件向装置提供原料、化学品和公用工程。</w:t>
      </w:r>
    </w:p>
    <w:p w14:paraId="192441A3">
      <w:pPr>
        <w:pStyle w:val="18"/>
        <w:numPr>
          <w:ilvl w:val="0"/>
          <w:numId w:val="14"/>
        </w:numPr>
        <w:spacing w:line="360" w:lineRule="auto"/>
        <w:ind w:firstLineChars="0"/>
        <w:rPr>
          <w:rFonts w:ascii="宋体" w:hAnsi="宋体" w:eastAsia="宋体"/>
          <w:bCs/>
          <w:sz w:val="24"/>
        </w:rPr>
      </w:pPr>
      <w:r>
        <w:rPr>
          <w:rFonts w:hint="eastAsia" w:ascii="宋体" w:hAnsi="宋体" w:eastAsia="宋体"/>
          <w:bCs/>
          <w:sz w:val="24"/>
        </w:rPr>
        <w:t>未经投标人要求、建议或批准，在设备安装建立后，改变任意设备或其中部件的用途，或增加、修改任意设备或部件。</w:t>
      </w:r>
    </w:p>
    <w:p w14:paraId="1EF6BDC5">
      <w:pPr>
        <w:pStyle w:val="18"/>
        <w:numPr>
          <w:ilvl w:val="0"/>
          <w:numId w:val="14"/>
        </w:numPr>
        <w:spacing w:line="360" w:lineRule="auto"/>
        <w:ind w:firstLineChars="0"/>
        <w:rPr>
          <w:rFonts w:ascii="宋体" w:hAnsi="宋体" w:eastAsia="宋体"/>
          <w:bCs/>
          <w:sz w:val="24"/>
        </w:rPr>
      </w:pPr>
      <w:r>
        <w:rPr>
          <w:rFonts w:hint="eastAsia" w:ascii="宋体" w:hAnsi="宋体" w:eastAsia="宋体"/>
          <w:bCs/>
          <w:sz w:val="24"/>
        </w:rPr>
        <w:t>未经投标人书面批准，在装置中使用非投标人提供或批准的材料和设备。</w:t>
      </w:r>
    </w:p>
    <w:p w14:paraId="7ADAE0D7">
      <w:pPr>
        <w:pStyle w:val="18"/>
        <w:numPr>
          <w:ilvl w:val="0"/>
          <w:numId w:val="13"/>
        </w:numPr>
        <w:spacing w:line="360" w:lineRule="auto"/>
        <w:ind w:left="0" w:firstLine="480"/>
        <w:rPr>
          <w:rFonts w:ascii="宋体" w:hAnsi="宋体" w:eastAsia="宋体"/>
          <w:sz w:val="24"/>
          <w:szCs w:val="24"/>
        </w:rPr>
      </w:pPr>
      <w:r>
        <w:rPr>
          <w:rFonts w:hint="eastAsia" w:ascii="宋体" w:hAnsi="宋体" w:eastAsia="宋体"/>
          <w:sz w:val="24"/>
          <w:szCs w:val="24"/>
        </w:rPr>
        <w:t>由供货方按性能保证条款在设备考核前提供考核、测量、验收方案，经双方代表确认签字后方可进行考核，其测试结果才有效。</w:t>
      </w:r>
    </w:p>
    <w:p w14:paraId="39F093BD">
      <w:pPr>
        <w:spacing w:line="360" w:lineRule="auto"/>
        <w:rPr>
          <w:rFonts w:ascii="宋体" w:hAnsi="宋体" w:eastAsia="宋体"/>
          <w:sz w:val="24"/>
          <w:szCs w:val="24"/>
        </w:rPr>
      </w:pPr>
    </w:p>
    <w:p w14:paraId="5D608869">
      <w:pPr>
        <w:pStyle w:val="18"/>
        <w:keepNext/>
        <w:keepLines/>
        <w:numPr>
          <w:ilvl w:val="0"/>
          <w:numId w:val="2"/>
        </w:numPr>
        <w:spacing w:line="360" w:lineRule="auto"/>
        <w:ind w:firstLineChars="0"/>
        <w:outlineLvl w:val="0"/>
        <w:rPr>
          <w:rFonts w:ascii="宋体" w:hAnsi="宋体" w:eastAsia="宋体"/>
          <w:b/>
          <w:sz w:val="28"/>
          <w:szCs w:val="24"/>
        </w:rPr>
      </w:pPr>
      <w:bookmarkStart w:id="15" w:name="_Toc251337931"/>
      <w:bookmarkStart w:id="16" w:name="_Toc15815"/>
      <w:bookmarkStart w:id="17" w:name="_Toc301428682"/>
      <w:bookmarkStart w:id="18" w:name="_Toc138680824"/>
      <w:bookmarkStart w:id="19" w:name="_Toc290447784"/>
      <w:bookmarkStart w:id="20" w:name="_Toc295732992"/>
      <w:bookmarkStart w:id="21" w:name="_Toc102664833"/>
      <w:bookmarkStart w:id="22" w:name="_Toc410227136"/>
      <w:r>
        <w:rPr>
          <w:rFonts w:hint="eastAsia" w:ascii="宋体" w:hAnsi="宋体" w:eastAsia="宋体"/>
          <w:b/>
          <w:sz w:val="28"/>
          <w:szCs w:val="24"/>
        </w:rPr>
        <w:t>现场与售后服务</w:t>
      </w:r>
      <w:bookmarkEnd w:id="15"/>
      <w:bookmarkEnd w:id="16"/>
      <w:bookmarkEnd w:id="17"/>
      <w:bookmarkEnd w:id="18"/>
      <w:bookmarkEnd w:id="19"/>
      <w:bookmarkEnd w:id="20"/>
      <w:bookmarkEnd w:id="21"/>
      <w:bookmarkEnd w:id="22"/>
    </w:p>
    <w:p w14:paraId="5B5DFA50">
      <w:pPr>
        <w:pStyle w:val="18"/>
        <w:numPr>
          <w:ilvl w:val="1"/>
          <w:numId w:val="15"/>
        </w:numPr>
        <w:spacing w:line="360" w:lineRule="auto"/>
        <w:ind w:firstLineChars="0"/>
        <w:outlineLvl w:val="1"/>
        <w:rPr>
          <w:rFonts w:ascii="宋体" w:hAnsi="宋体" w:eastAsia="宋体"/>
          <w:b/>
          <w:sz w:val="28"/>
          <w:szCs w:val="24"/>
        </w:rPr>
      </w:pPr>
      <w:bookmarkStart w:id="23" w:name="_Toc102664834"/>
      <w:bookmarkStart w:id="24" w:name="_Toc410227137"/>
      <w:bookmarkStart w:id="25" w:name="_Toc138680825"/>
      <w:bookmarkStart w:id="26" w:name="_Toc251337932"/>
      <w:bookmarkStart w:id="27" w:name="_Toc13435"/>
      <w:r>
        <w:rPr>
          <w:rFonts w:hint="eastAsia" w:ascii="宋体" w:hAnsi="宋体" w:eastAsia="宋体"/>
          <w:b/>
          <w:sz w:val="28"/>
          <w:szCs w:val="24"/>
        </w:rPr>
        <w:t>投标人现场技术服务内容</w:t>
      </w:r>
      <w:bookmarkEnd w:id="23"/>
      <w:bookmarkEnd w:id="24"/>
      <w:bookmarkEnd w:id="25"/>
      <w:bookmarkEnd w:id="26"/>
      <w:bookmarkEnd w:id="27"/>
    </w:p>
    <w:p w14:paraId="3F58A48E">
      <w:pPr>
        <w:spacing w:line="360" w:lineRule="auto"/>
        <w:ind w:firstLine="480" w:firstLineChars="200"/>
        <w:rPr>
          <w:rFonts w:ascii="宋体" w:hAnsi="宋体" w:eastAsia="宋体"/>
          <w:kern w:val="24"/>
          <w:sz w:val="24"/>
        </w:rPr>
      </w:pPr>
      <w:r>
        <w:rPr>
          <w:rFonts w:hint="eastAsia" w:ascii="宋体" w:hAnsi="宋体" w:eastAsia="宋体"/>
          <w:kern w:val="24"/>
          <w:sz w:val="24"/>
        </w:rPr>
        <w:t>如有需要投标人将提供有经验的安装人员和技术人员到现场负责合同约定的供货设备的安装技术指导服务工作，并提供有经验的技术人员，为仪表调试提供技术指导服务。</w:t>
      </w:r>
    </w:p>
    <w:p w14:paraId="46ADBF17">
      <w:pPr>
        <w:pStyle w:val="18"/>
        <w:numPr>
          <w:ilvl w:val="2"/>
          <w:numId w:val="16"/>
        </w:numPr>
        <w:spacing w:line="360" w:lineRule="auto"/>
        <w:ind w:firstLineChars="0"/>
        <w:rPr>
          <w:rFonts w:ascii="宋体" w:hAnsi="宋体" w:eastAsia="宋体"/>
          <w:sz w:val="28"/>
          <w:szCs w:val="24"/>
        </w:rPr>
      </w:pPr>
      <w:r>
        <w:rPr>
          <w:rFonts w:hint="eastAsia" w:ascii="宋体" w:hAnsi="宋体" w:eastAsia="宋体"/>
          <w:sz w:val="28"/>
          <w:szCs w:val="24"/>
        </w:rPr>
        <w:t>投标人现场服务人员应具备下列条件</w:t>
      </w:r>
    </w:p>
    <w:p w14:paraId="1288B797">
      <w:pPr>
        <w:pStyle w:val="18"/>
        <w:numPr>
          <w:ilvl w:val="0"/>
          <w:numId w:val="17"/>
        </w:numPr>
        <w:spacing w:line="360" w:lineRule="auto"/>
        <w:ind w:left="0" w:firstLine="480"/>
        <w:rPr>
          <w:rFonts w:ascii="宋体" w:hAnsi="宋体" w:eastAsia="宋体"/>
          <w:sz w:val="24"/>
          <w:szCs w:val="24"/>
        </w:rPr>
      </w:pPr>
      <w:r>
        <w:rPr>
          <w:rFonts w:hint="eastAsia" w:ascii="宋体" w:hAnsi="宋体" w:eastAsia="宋体"/>
          <w:sz w:val="24"/>
          <w:szCs w:val="24"/>
        </w:rPr>
        <w:t>遵守法纪，遵守现场的各项规章和制度；</w:t>
      </w:r>
    </w:p>
    <w:p w14:paraId="21F7D45B">
      <w:pPr>
        <w:pStyle w:val="18"/>
        <w:numPr>
          <w:ilvl w:val="0"/>
          <w:numId w:val="17"/>
        </w:numPr>
        <w:spacing w:line="360" w:lineRule="auto"/>
        <w:ind w:left="0" w:firstLine="480"/>
        <w:rPr>
          <w:rFonts w:ascii="宋体" w:hAnsi="宋体" w:eastAsia="宋体"/>
          <w:sz w:val="24"/>
          <w:szCs w:val="24"/>
        </w:rPr>
      </w:pPr>
      <w:r>
        <w:rPr>
          <w:rFonts w:hint="eastAsia" w:ascii="宋体" w:hAnsi="宋体" w:eastAsia="宋体"/>
          <w:sz w:val="24"/>
          <w:szCs w:val="24"/>
        </w:rPr>
        <w:t>有较强的责任感和事业心，按时到位；</w:t>
      </w:r>
    </w:p>
    <w:p w14:paraId="3B9A58E3">
      <w:pPr>
        <w:pStyle w:val="18"/>
        <w:numPr>
          <w:ilvl w:val="0"/>
          <w:numId w:val="17"/>
        </w:numPr>
        <w:spacing w:line="360" w:lineRule="auto"/>
        <w:ind w:left="0" w:firstLine="480"/>
        <w:rPr>
          <w:rFonts w:ascii="宋体" w:hAnsi="宋体" w:eastAsia="宋体"/>
          <w:sz w:val="24"/>
          <w:szCs w:val="24"/>
        </w:rPr>
      </w:pPr>
      <w:r>
        <w:rPr>
          <w:rFonts w:hint="eastAsia" w:ascii="宋体" w:hAnsi="宋体" w:eastAsia="宋体"/>
          <w:sz w:val="24"/>
          <w:szCs w:val="24"/>
        </w:rPr>
        <w:t>了解合同设备的设计，熟悉其结构，有相同或相近的现场工作经验，能够正确地进行现场指导；</w:t>
      </w:r>
    </w:p>
    <w:p w14:paraId="2B50CE4A">
      <w:pPr>
        <w:pStyle w:val="18"/>
        <w:numPr>
          <w:ilvl w:val="0"/>
          <w:numId w:val="17"/>
        </w:numPr>
        <w:spacing w:line="360" w:lineRule="auto"/>
        <w:ind w:left="0" w:firstLine="480"/>
        <w:rPr>
          <w:rFonts w:ascii="宋体" w:hAnsi="宋体" w:eastAsia="宋体"/>
          <w:sz w:val="24"/>
          <w:szCs w:val="24"/>
        </w:rPr>
      </w:pPr>
      <w:r>
        <w:rPr>
          <w:rFonts w:hint="eastAsia" w:ascii="宋体" w:hAnsi="宋体" w:eastAsia="宋体"/>
          <w:sz w:val="24"/>
          <w:szCs w:val="24"/>
        </w:rPr>
        <w:t>身体健康，适应现场工作的条件。</w:t>
      </w:r>
    </w:p>
    <w:p w14:paraId="5606ADD8">
      <w:pPr>
        <w:pStyle w:val="18"/>
        <w:numPr>
          <w:ilvl w:val="2"/>
          <w:numId w:val="16"/>
        </w:numPr>
        <w:spacing w:line="360" w:lineRule="auto"/>
        <w:ind w:firstLineChars="0"/>
        <w:rPr>
          <w:rFonts w:ascii="宋体" w:hAnsi="宋体" w:eastAsia="宋体"/>
          <w:sz w:val="28"/>
          <w:szCs w:val="24"/>
        </w:rPr>
      </w:pPr>
      <w:r>
        <w:rPr>
          <w:rFonts w:hint="eastAsia" w:ascii="宋体" w:hAnsi="宋体" w:eastAsia="宋体"/>
          <w:sz w:val="28"/>
          <w:szCs w:val="24"/>
        </w:rPr>
        <w:t>投标人现场服务人员的职责</w:t>
      </w:r>
    </w:p>
    <w:p w14:paraId="594823D0">
      <w:pPr>
        <w:pStyle w:val="18"/>
        <w:numPr>
          <w:ilvl w:val="0"/>
          <w:numId w:val="18"/>
        </w:numPr>
        <w:spacing w:line="360" w:lineRule="auto"/>
        <w:ind w:left="0" w:firstLine="480"/>
        <w:rPr>
          <w:rFonts w:ascii="宋体" w:hAnsi="宋体" w:eastAsia="宋体"/>
          <w:sz w:val="24"/>
          <w:szCs w:val="24"/>
        </w:rPr>
      </w:pPr>
      <w:r>
        <w:rPr>
          <w:rFonts w:hint="eastAsia" w:ascii="宋体" w:hAnsi="宋体" w:eastAsia="宋体"/>
          <w:sz w:val="24"/>
          <w:szCs w:val="24"/>
        </w:rPr>
        <w:t>投标人现场服务人员的任务主要包括货物的开箱检验、设备质量问题的处理、安装和调试的指导、参加试运和性能验收试验。</w:t>
      </w:r>
    </w:p>
    <w:p w14:paraId="3F92D56E">
      <w:pPr>
        <w:pStyle w:val="18"/>
        <w:numPr>
          <w:ilvl w:val="0"/>
          <w:numId w:val="18"/>
        </w:numPr>
        <w:spacing w:line="360" w:lineRule="auto"/>
        <w:ind w:left="0" w:firstLine="480"/>
        <w:rPr>
          <w:rFonts w:ascii="宋体" w:hAnsi="宋体" w:eastAsia="宋体"/>
          <w:sz w:val="24"/>
          <w:szCs w:val="24"/>
        </w:rPr>
      </w:pPr>
      <w:r>
        <w:rPr>
          <w:rFonts w:hint="eastAsia" w:ascii="宋体" w:hAnsi="宋体" w:eastAsia="宋体"/>
          <w:sz w:val="24"/>
          <w:szCs w:val="24"/>
        </w:rPr>
        <w:t>在调试前，投标人技术人员应向招标人技术和操作人员进行技术交底，讲解和示范将要进行的程序和方法。</w:t>
      </w:r>
    </w:p>
    <w:p w14:paraId="7F12A1E4">
      <w:pPr>
        <w:pStyle w:val="18"/>
        <w:numPr>
          <w:ilvl w:val="0"/>
          <w:numId w:val="18"/>
        </w:numPr>
        <w:spacing w:line="360" w:lineRule="auto"/>
        <w:ind w:left="0" w:firstLine="480"/>
        <w:rPr>
          <w:rFonts w:ascii="宋体" w:hAnsi="宋体" w:eastAsia="宋体"/>
          <w:sz w:val="24"/>
          <w:szCs w:val="24"/>
        </w:rPr>
      </w:pPr>
      <w:r>
        <w:rPr>
          <w:rFonts w:hint="eastAsia" w:ascii="宋体" w:hAnsi="宋体" w:eastAsia="宋体"/>
          <w:sz w:val="24"/>
          <w:szCs w:val="24"/>
        </w:rPr>
        <w:t>投标人现场服务人员应有权处理现场出现的一切技术和商务问题。如现场发生质量问题投标人现场人员要在招标人规定的时间内处理解决。</w:t>
      </w:r>
    </w:p>
    <w:p w14:paraId="08D9AC3B">
      <w:pPr>
        <w:pStyle w:val="18"/>
        <w:numPr>
          <w:ilvl w:val="0"/>
          <w:numId w:val="18"/>
        </w:numPr>
        <w:spacing w:line="360" w:lineRule="auto"/>
        <w:ind w:left="0" w:firstLine="480"/>
        <w:rPr>
          <w:rFonts w:ascii="宋体" w:hAnsi="宋体" w:eastAsia="宋体"/>
          <w:sz w:val="24"/>
          <w:szCs w:val="24"/>
        </w:rPr>
      </w:pPr>
      <w:r>
        <w:rPr>
          <w:rFonts w:hint="eastAsia" w:ascii="宋体" w:hAnsi="宋体" w:eastAsia="宋体"/>
          <w:sz w:val="24"/>
          <w:szCs w:val="24"/>
        </w:rPr>
        <w:t>投标人对现场服务人员的一切行为负全部责任。</w:t>
      </w:r>
    </w:p>
    <w:p w14:paraId="21B1056A">
      <w:pPr>
        <w:pStyle w:val="18"/>
        <w:numPr>
          <w:ilvl w:val="0"/>
          <w:numId w:val="18"/>
        </w:numPr>
        <w:spacing w:line="360" w:lineRule="auto"/>
        <w:ind w:left="0" w:firstLine="480"/>
        <w:rPr>
          <w:rFonts w:ascii="宋体" w:hAnsi="宋体" w:eastAsia="宋体"/>
          <w:sz w:val="24"/>
          <w:szCs w:val="24"/>
        </w:rPr>
      </w:pPr>
      <w:r>
        <w:rPr>
          <w:rFonts w:hint="eastAsia" w:ascii="宋体" w:hAnsi="宋体" w:eastAsia="宋体"/>
          <w:sz w:val="24"/>
          <w:szCs w:val="24"/>
        </w:rPr>
        <w:t>投标人现场服务人员的正常来去和更换事先应与招标人协商。如招标人对投标人现场服务人员不满，投标人须更换不合格的投标人现场服务人员。</w:t>
      </w:r>
    </w:p>
    <w:p w14:paraId="1F296CE8">
      <w:pPr>
        <w:pStyle w:val="18"/>
        <w:numPr>
          <w:ilvl w:val="2"/>
          <w:numId w:val="16"/>
        </w:numPr>
        <w:spacing w:line="360" w:lineRule="auto"/>
        <w:ind w:firstLineChars="0"/>
        <w:rPr>
          <w:rFonts w:ascii="宋体" w:hAnsi="宋体" w:eastAsia="宋体"/>
          <w:sz w:val="28"/>
          <w:szCs w:val="24"/>
        </w:rPr>
      </w:pPr>
      <w:r>
        <w:rPr>
          <w:rFonts w:hint="eastAsia" w:ascii="宋体" w:hAnsi="宋体" w:eastAsia="宋体"/>
          <w:sz w:val="28"/>
          <w:szCs w:val="24"/>
        </w:rPr>
        <w:t>招标人的义务：配合投标人现场服务人员的工作，并在生活、交通和通讯上提供方便。</w:t>
      </w:r>
    </w:p>
    <w:p w14:paraId="1343B901">
      <w:pPr>
        <w:pStyle w:val="18"/>
        <w:numPr>
          <w:ilvl w:val="1"/>
          <w:numId w:val="15"/>
        </w:numPr>
        <w:spacing w:line="360" w:lineRule="auto"/>
        <w:ind w:firstLineChars="0"/>
        <w:outlineLvl w:val="1"/>
        <w:rPr>
          <w:rFonts w:ascii="宋体" w:hAnsi="宋体" w:eastAsia="宋体"/>
          <w:b/>
          <w:sz w:val="28"/>
          <w:szCs w:val="24"/>
        </w:rPr>
      </w:pPr>
      <w:bookmarkStart w:id="28" w:name="_Toc1936"/>
      <w:bookmarkStart w:id="29" w:name="_Toc102664835"/>
      <w:bookmarkStart w:id="30" w:name="_Toc138680826"/>
      <w:bookmarkStart w:id="31" w:name="_Toc251337933"/>
      <w:bookmarkStart w:id="32" w:name="_Toc410227138"/>
      <w:bookmarkStart w:id="33" w:name="_Toc201368093"/>
      <w:r>
        <w:rPr>
          <w:rFonts w:hint="eastAsia" w:ascii="宋体" w:hAnsi="宋体" w:eastAsia="宋体"/>
          <w:b/>
          <w:sz w:val="28"/>
          <w:szCs w:val="24"/>
        </w:rPr>
        <w:t>售后服务措施承诺</w:t>
      </w:r>
      <w:bookmarkEnd w:id="28"/>
      <w:bookmarkEnd w:id="29"/>
      <w:bookmarkEnd w:id="30"/>
      <w:bookmarkEnd w:id="31"/>
      <w:bookmarkEnd w:id="32"/>
      <w:bookmarkEnd w:id="33"/>
    </w:p>
    <w:p w14:paraId="281D2219">
      <w:pPr>
        <w:pStyle w:val="18"/>
        <w:numPr>
          <w:ilvl w:val="2"/>
          <w:numId w:val="16"/>
        </w:numPr>
        <w:spacing w:line="360" w:lineRule="auto"/>
        <w:ind w:firstLineChars="0"/>
        <w:rPr>
          <w:rFonts w:ascii="宋体" w:hAnsi="宋体" w:eastAsia="宋体"/>
          <w:sz w:val="28"/>
          <w:szCs w:val="24"/>
        </w:rPr>
      </w:pPr>
      <w:r>
        <w:rPr>
          <w:rFonts w:hint="eastAsia" w:ascii="宋体" w:hAnsi="宋体" w:eastAsia="宋体"/>
          <w:sz w:val="28"/>
          <w:szCs w:val="24"/>
        </w:rPr>
        <w:t>质保期内售后服务承诺</w:t>
      </w:r>
    </w:p>
    <w:p w14:paraId="00B1DE8B">
      <w:pPr>
        <w:pStyle w:val="18"/>
        <w:numPr>
          <w:ilvl w:val="0"/>
          <w:numId w:val="19"/>
        </w:numPr>
        <w:spacing w:line="360" w:lineRule="auto"/>
        <w:ind w:left="0" w:firstLine="480"/>
        <w:rPr>
          <w:rFonts w:ascii="宋体" w:hAnsi="宋体" w:eastAsia="宋体"/>
          <w:sz w:val="24"/>
          <w:szCs w:val="24"/>
        </w:rPr>
      </w:pPr>
      <w:r>
        <w:rPr>
          <w:rFonts w:hint="eastAsia" w:ascii="宋体" w:hAnsi="宋体" w:eastAsia="宋体"/>
          <w:sz w:val="24"/>
          <w:szCs w:val="24"/>
        </w:rPr>
        <w:t>质保期之内，招标人应及时以书面形式通知投标人关于设备、材料上出现的任何问题，投标人接到通知后24小时内反馈信息，提供故障维护方案，如有必要在48小时内委派专业的售后服务工程师人员到招标人现场进行现场指导。</w:t>
      </w:r>
    </w:p>
    <w:p w14:paraId="42B33C95">
      <w:pPr>
        <w:pStyle w:val="18"/>
        <w:numPr>
          <w:ilvl w:val="0"/>
          <w:numId w:val="19"/>
        </w:numPr>
        <w:spacing w:line="360" w:lineRule="auto"/>
        <w:ind w:left="0" w:firstLine="480"/>
        <w:rPr>
          <w:rFonts w:ascii="宋体" w:hAnsi="宋体" w:eastAsia="宋体"/>
          <w:sz w:val="24"/>
          <w:szCs w:val="24"/>
        </w:rPr>
      </w:pPr>
      <w:r>
        <w:rPr>
          <w:rFonts w:hint="eastAsia" w:ascii="宋体" w:hAnsi="宋体" w:eastAsia="宋体"/>
          <w:sz w:val="24"/>
          <w:szCs w:val="24"/>
        </w:rPr>
        <w:t>投标人在收到问题通知后，在规定时间内未能修理或更换所出现问题的设备或材料，则由双方以书面形式协商确定后，招标人可自行进行设备或材料的修理或更换，所发生的费用由投标人承担支付。</w:t>
      </w:r>
    </w:p>
    <w:p w14:paraId="712801E9">
      <w:pPr>
        <w:pStyle w:val="18"/>
        <w:numPr>
          <w:ilvl w:val="2"/>
          <w:numId w:val="16"/>
        </w:numPr>
        <w:spacing w:line="360" w:lineRule="auto"/>
        <w:ind w:firstLineChars="0"/>
        <w:rPr>
          <w:rFonts w:ascii="宋体" w:hAnsi="宋体" w:eastAsia="宋体"/>
          <w:sz w:val="28"/>
          <w:szCs w:val="24"/>
        </w:rPr>
      </w:pPr>
      <w:r>
        <w:rPr>
          <w:rFonts w:hint="eastAsia" w:ascii="宋体" w:hAnsi="宋体" w:eastAsia="宋体"/>
          <w:sz w:val="28"/>
          <w:szCs w:val="24"/>
        </w:rPr>
        <w:t>质保期外售后服务承诺</w:t>
      </w:r>
    </w:p>
    <w:p w14:paraId="26DE2E86">
      <w:pPr>
        <w:spacing w:line="360" w:lineRule="auto"/>
        <w:ind w:firstLine="480" w:firstLineChars="200"/>
        <w:rPr>
          <w:rFonts w:ascii="宋体" w:hAnsi="宋体" w:eastAsia="宋体"/>
          <w:sz w:val="24"/>
        </w:rPr>
      </w:pPr>
      <w:r>
        <w:rPr>
          <w:rFonts w:hint="eastAsia" w:ascii="宋体" w:hAnsi="宋体" w:eastAsia="宋体"/>
          <w:sz w:val="24"/>
        </w:rPr>
        <w:t>质保期之外，投标人按市场价格提供优惠备品备件及有偿技术服务。</w:t>
      </w:r>
    </w:p>
    <w:p w14:paraId="34AB8D4B">
      <w:pPr>
        <w:pStyle w:val="18"/>
        <w:numPr>
          <w:ilvl w:val="1"/>
          <w:numId w:val="15"/>
        </w:numPr>
        <w:spacing w:line="360" w:lineRule="auto"/>
        <w:ind w:firstLineChars="0"/>
        <w:outlineLvl w:val="1"/>
        <w:rPr>
          <w:rFonts w:ascii="宋体" w:hAnsi="宋体" w:eastAsia="宋体"/>
          <w:b/>
          <w:sz w:val="28"/>
          <w:szCs w:val="24"/>
        </w:rPr>
      </w:pPr>
      <w:bookmarkStart w:id="34" w:name="_Toc251337934"/>
      <w:bookmarkStart w:id="35" w:name="_Toc21809"/>
      <w:bookmarkStart w:id="36" w:name="_Toc201368094"/>
      <w:bookmarkStart w:id="37" w:name="_Toc138680827"/>
      <w:bookmarkStart w:id="38" w:name="_Toc102664836"/>
      <w:bookmarkStart w:id="39" w:name="_Toc410227139"/>
      <w:r>
        <w:rPr>
          <w:rFonts w:hint="eastAsia" w:ascii="宋体" w:hAnsi="宋体" w:eastAsia="宋体"/>
          <w:b/>
          <w:sz w:val="28"/>
          <w:szCs w:val="24"/>
        </w:rPr>
        <w:t>技术培训方案</w:t>
      </w:r>
      <w:bookmarkEnd w:id="34"/>
      <w:bookmarkEnd w:id="35"/>
      <w:bookmarkEnd w:id="36"/>
      <w:bookmarkEnd w:id="37"/>
      <w:bookmarkEnd w:id="38"/>
      <w:bookmarkEnd w:id="39"/>
      <w:bookmarkStart w:id="40" w:name="_Toc251337935"/>
    </w:p>
    <w:p w14:paraId="34583C15">
      <w:pPr>
        <w:pStyle w:val="18"/>
        <w:numPr>
          <w:ilvl w:val="2"/>
          <w:numId w:val="16"/>
        </w:numPr>
        <w:spacing w:line="360" w:lineRule="auto"/>
        <w:ind w:firstLineChars="0"/>
        <w:rPr>
          <w:rFonts w:ascii="宋体" w:hAnsi="宋体" w:eastAsia="宋体"/>
          <w:sz w:val="28"/>
          <w:szCs w:val="24"/>
        </w:rPr>
      </w:pPr>
      <w:bookmarkStart w:id="41" w:name="_Toc357244170"/>
      <w:bookmarkStart w:id="42" w:name="_Toc357254469"/>
      <w:bookmarkStart w:id="43" w:name="_Toc357430334"/>
      <w:bookmarkStart w:id="44" w:name="_Toc357512984"/>
      <w:r>
        <w:rPr>
          <w:rFonts w:hint="eastAsia" w:ascii="宋体" w:hAnsi="宋体" w:eastAsia="宋体"/>
          <w:sz w:val="28"/>
          <w:szCs w:val="24"/>
        </w:rPr>
        <w:t>培训内容</w:t>
      </w:r>
      <w:bookmarkEnd w:id="40"/>
      <w:bookmarkEnd w:id="41"/>
      <w:bookmarkEnd w:id="42"/>
      <w:bookmarkEnd w:id="43"/>
      <w:bookmarkEnd w:id="44"/>
    </w:p>
    <w:p w14:paraId="3805B032">
      <w:pPr>
        <w:pStyle w:val="18"/>
        <w:numPr>
          <w:ilvl w:val="0"/>
          <w:numId w:val="20"/>
        </w:numPr>
        <w:spacing w:line="360" w:lineRule="auto"/>
        <w:ind w:left="0" w:firstLine="480"/>
        <w:rPr>
          <w:rFonts w:ascii="宋体" w:hAnsi="宋体" w:eastAsia="宋体"/>
          <w:sz w:val="24"/>
          <w:szCs w:val="24"/>
        </w:rPr>
      </w:pPr>
      <w:r>
        <w:rPr>
          <w:rFonts w:hint="eastAsia" w:ascii="宋体" w:hAnsi="宋体" w:eastAsia="宋体"/>
          <w:sz w:val="24"/>
          <w:szCs w:val="24"/>
        </w:rPr>
        <w:t xml:space="preserve">设备的基本原理、安装及运行，方式采用课堂讲解和现场讲解； </w:t>
      </w:r>
    </w:p>
    <w:p w14:paraId="4D453B57">
      <w:pPr>
        <w:pStyle w:val="18"/>
        <w:numPr>
          <w:ilvl w:val="0"/>
          <w:numId w:val="20"/>
        </w:numPr>
        <w:spacing w:line="360" w:lineRule="auto"/>
        <w:ind w:left="0" w:firstLine="480"/>
        <w:rPr>
          <w:rFonts w:ascii="宋体" w:hAnsi="宋体" w:eastAsia="宋体"/>
          <w:sz w:val="24"/>
          <w:szCs w:val="24"/>
        </w:rPr>
      </w:pPr>
      <w:r>
        <w:rPr>
          <w:rFonts w:hint="eastAsia" w:ascii="宋体" w:hAnsi="宋体" w:eastAsia="宋体"/>
          <w:sz w:val="24"/>
          <w:szCs w:val="24"/>
        </w:rPr>
        <w:t>设备操作、使用培训；</w:t>
      </w:r>
    </w:p>
    <w:p w14:paraId="740255E3">
      <w:pPr>
        <w:pStyle w:val="18"/>
        <w:numPr>
          <w:ilvl w:val="0"/>
          <w:numId w:val="20"/>
        </w:numPr>
        <w:spacing w:line="360" w:lineRule="auto"/>
        <w:ind w:left="0" w:firstLine="480"/>
        <w:rPr>
          <w:rFonts w:ascii="宋体" w:hAnsi="宋体" w:eastAsia="宋体"/>
          <w:sz w:val="24"/>
          <w:szCs w:val="24"/>
        </w:rPr>
      </w:pPr>
      <w:r>
        <w:rPr>
          <w:rFonts w:hint="eastAsia" w:ascii="宋体" w:hAnsi="宋体" w:eastAsia="宋体"/>
          <w:sz w:val="24"/>
          <w:szCs w:val="24"/>
        </w:rPr>
        <w:t>设备维护、保养和异常情况处理培训；</w:t>
      </w:r>
    </w:p>
    <w:p w14:paraId="18A5EB24">
      <w:pPr>
        <w:pStyle w:val="18"/>
        <w:numPr>
          <w:ilvl w:val="0"/>
          <w:numId w:val="20"/>
        </w:numPr>
        <w:spacing w:line="360" w:lineRule="auto"/>
        <w:ind w:left="0" w:firstLine="480"/>
        <w:rPr>
          <w:rFonts w:ascii="宋体" w:hAnsi="宋体" w:eastAsia="宋体"/>
          <w:sz w:val="24"/>
          <w:szCs w:val="24"/>
        </w:rPr>
      </w:pPr>
      <w:r>
        <w:rPr>
          <w:rFonts w:hint="eastAsia" w:ascii="宋体" w:hAnsi="宋体" w:eastAsia="宋体"/>
          <w:sz w:val="24"/>
          <w:szCs w:val="24"/>
        </w:rPr>
        <w:t>仪表的主要故障判断和解决方法；</w:t>
      </w:r>
    </w:p>
    <w:p w14:paraId="303A795A">
      <w:pPr>
        <w:pStyle w:val="18"/>
        <w:numPr>
          <w:ilvl w:val="0"/>
          <w:numId w:val="20"/>
        </w:numPr>
        <w:spacing w:line="360" w:lineRule="auto"/>
        <w:ind w:left="0" w:firstLine="480"/>
        <w:rPr>
          <w:rFonts w:ascii="宋体" w:hAnsi="宋体" w:eastAsia="宋体"/>
          <w:sz w:val="24"/>
          <w:szCs w:val="24"/>
        </w:rPr>
      </w:pPr>
      <w:r>
        <w:rPr>
          <w:rFonts w:hint="eastAsia" w:ascii="宋体" w:hAnsi="宋体" w:eastAsia="宋体"/>
          <w:sz w:val="24"/>
          <w:szCs w:val="24"/>
        </w:rPr>
        <w:t>其他必要的技术介绍。</w:t>
      </w:r>
    </w:p>
    <w:p w14:paraId="4E4E5127">
      <w:pPr>
        <w:pStyle w:val="18"/>
        <w:numPr>
          <w:ilvl w:val="2"/>
          <w:numId w:val="16"/>
        </w:numPr>
        <w:spacing w:line="360" w:lineRule="auto"/>
        <w:ind w:firstLineChars="0"/>
        <w:rPr>
          <w:rFonts w:ascii="宋体" w:hAnsi="宋体" w:eastAsia="宋体"/>
          <w:sz w:val="28"/>
          <w:szCs w:val="24"/>
        </w:rPr>
      </w:pPr>
      <w:r>
        <w:rPr>
          <w:rFonts w:hint="eastAsia" w:ascii="宋体" w:hAnsi="宋体" w:eastAsia="宋体"/>
          <w:sz w:val="28"/>
          <w:szCs w:val="24"/>
        </w:rPr>
        <w:t>培训方案</w:t>
      </w:r>
    </w:p>
    <w:p w14:paraId="2D8C2EBE">
      <w:pPr>
        <w:pStyle w:val="18"/>
        <w:numPr>
          <w:ilvl w:val="0"/>
          <w:numId w:val="21"/>
        </w:numPr>
        <w:spacing w:line="360" w:lineRule="auto"/>
        <w:ind w:left="0" w:firstLine="480"/>
        <w:rPr>
          <w:rFonts w:ascii="宋体" w:hAnsi="宋体" w:eastAsia="宋体"/>
          <w:sz w:val="24"/>
          <w:szCs w:val="24"/>
        </w:rPr>
      </w:pPr>
      <w:r>
        <w:rPr>
          <w:rFonts w:hint="eastAsia" w:ascii="宋体" w:hAnsi="宋体" w:eastAsia="宋体"/>
          <w:sz w:val="24"/>
          <w:szCs w:val="24"/>
        </w:rPr>
        <w:t>如有必要投标人将提供相应的技术培训，培训内容应与工程进度相一致。</w:t>
      </w:r>
    </w:p>
    <w:p w14:paraId="75EA063D">
      <w:pPr>
        <w:pStyle w:val="18"/>
        <w:numPr>
          <w:ilvl w:val="0"/>
          <w:numId w:val="21"/>
        </w:numPr>
        <w:spacing w:line="360" w:lineRule="auto"/>
        <w:ind w:left="0" w:firstLine="480"/>
        <w:rPr>
          <w:rFonts w:ascii="宋体" w:hAnsi="宋体" w:eastAsia="宋体"/>
          <w:sz w:val="24"/>
          <w:szCs w:val="24"/>
        </w:rPr>
      </w:pPr>
      <w:r>
        <w:rPr>
          <w:rFonts w:hint="eastAsia" w:ascii="宋体" w:hAnsi="宋体" w:eastAsia="宋体"/>
          <w:sz w:val="24"/>
          <w:szCs w:val="24"/>
        </w:rPr>
        <w:t>现场培训计划如下。</w:t>
      </w:r>
    </w:p>
    <w:tbl>
      <w:tblPr>
        <w:tblStyle w:val="12"/>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46"/>
        <w:gridCol w:w="2268"/>
        <w:gridCol w:w="992"/>
        <w:gridCol w:w="992"/>
        <w:gridCol w:w="993"/>
        <w:gridCol w:w="850"/>
        <w:gridCol w:w="1355"/>
      </w:tblGrid>
      <w:tr w14:paraId="17A0B9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46" w:type="dxa"/>
            <w:vMerge w:val="restart"/>
            <w:tcBorders>
              <w:top w:val="single" w:color="auto" w:sz="4" w:space="0"/>
              <w:left w:val="single" w:color="auto" w:sz="4" w:space="0"/>
              <w:bottom w:val="single" w:color="auto" w:sz="4" w:space="0"/>
              <w:right w:val="single" w:color="auto" w:sz="4" w:space="0"/>
            </w:tcBorders>
            <w:vAlign w:val="center"/>
          </w:tcPr>
          <w:p w14:paraId="2DFE3C7C">
            <w:pPr>
              <w:spacing w:line="360" w:lineRule="auto"/>
              <w:jc w:val="center"/>
              <w:rPr>
                <w:rFonts w:ascii="宋体" w:hAnsi="宋体" w:eastAsia="宋体"/>
                <w:b/>
              </w:rPr>
            </w:pPr>
            <w:r>
              <w:rPr>
                <w:rFonts w:hint="eastAsia" w:ascii="宋体" w:hAnsi="宋体" w:eastAsia="宋体"/>
                <w:b/>
              </w:rPr>
              <w:t>序号</w:t>
            </w:r>
          </w:p>
        </w:tc>
        <w:tc>
          <w:tcPr>
            <w:tcW w:w="2268" w:type="dxa"/>
            <w:vMerge w:val="restart"/>
            <w:tcBorders>
              <w:top w:val="single" w:color="auto" w:sz="4" w:space="0"/>
              <w:left w:val="single" w:color="auto" w:sz="4" w:space="0"/>
              <w:bottom w:val="single" w:color="auto" w:sz="4" w:space="0"/>
              <w:right w:val="single" w:color="auto" w:sz="4" w:space="0"/>
            </w:tcBorders>
            <w:vAlign w:val="center"/>
          </w:tcPr>
          <w:p w14:paraId="0D63314C">
            <w:pPr>
              <w:spacing w:line="360" w:lineRule="auto"/>
              <w:jc w:val="center"/>
              <w:rPr>
                <w:rFonts w:ascii="宋体" w:hAnsi="宋体" w:eastAsia="宋体"/>
                <w:b/>
              </w:rPr>
            </w:pPr>
            <w:r>
              <w:rPr>
                <w:rFonts w:hint="eastAsia" w:ascii="宋体" w:hAnsi="宋体" w:eastAsia="宋体"/>
                <w:b/>
              </w:rPr>
              <w:t>培训内容</w:t>
            </w:r>
          </w:p>
        </w:tc>
        <w:tc>
          <w:tcPr>
            <w:tcW w:w="992" w:type="dxa"/>
            <w:vMerge w:val="restart"/>
            <w:tcBorders>
              <w:top w:val="single" w:color="auto" w:sz="4" w:space="0"/>
              <w:left w:val="single" w:color="auto" w:sz="4" w:space="0"/>
              <w:bottom w:val="single" w:color="auto" w:sz="4" w:space="0"/>
              <w:right w:val="single" w:color="auto" w:sz="4" w:space="0"/>
            </w:tcBorders>
            <w:vAlign w:val="center"/>
          </w:tcPr>
          <w:p w14:paraId="3166F8B1">
            <w:pPr>
              <w:spacing w:line="360" w:lineRule="auto"/>
              <w:jc w:val="center"/>
              <w:rPr>
                <w:rFonts w:ascii="宋体" w:hAnsi="宋体" w:eastAsia="宋体"/>
                <w:b/>
              </w:rPr>
            </w:pPr>
            <w:r>
              <w:rPr>
                <w:rFonts w:hint="eastAsia" w:ascii="宋体" w:hAnsi="宋体" w:eastAsia="宋体"/>
                <w:b/>
              </w:rPr>
              <w:t>计划人数</w:t>
            </w:r>
          </w:p>
        </w:tc>
        <w:tc>
          <w:tcPr>
            <w:tcW w:w="1985" w:type="dxa"/>
            <w:gridSpan w:val="2"/>
            <w:tcBorders>
              <w:top w:val="single" w:color="auto" w:sz="4" w:space="0"/>
              <w:left w:val="single" w:color="auto" w:sz="4" w:space="0"/>
              <w:bottom w:val="single" w:color="auto" w:sz="4" w:space="0"/>
              <w:right w:val="single" w:color="auto" w:sz="4" w:space="0"/>
            </w:tcBorders>
            <w:vAlign w:val="center"/>
          </w:tcPr>
          <w:p w14:paraId="565F6E19">
            <w:pPr>
              <w:spacing w:line="360" w:lineRule="auto"/>
              <w:jc w:val="center"/>
              <w:rPr>
                <w:rFonts w:ascii="宋体" w:hAnsi="宋体" w:eastAsia="宋体"/>
                <w:b/>
              </w:rPr>
            </w:pPr>
            <w:r>
              <w:rPr>
                <w:rFonts w:hint="eastAsia" w:ascii="宋体" w:hAnsi="宋体" w:eastAsia="宋体"/>
                <w:b/>
              </w:rPr>
              <w:t>培训教师构成</w:t>
            </w:r>
          </w:p>
        </w:tc>
        <w:tc>
          <w:tcPr>
            <w:tcW w:w="850" w:type="dxa"/>
            <w:vMerge w:val="restart"/>
            <w:tcBorders>
              <w:top w:val="single" w:color="auto" w:sz="4" w:space="0"/>
              <w:left w:val="single" w:color="auto" w:sz="4" w:space="0"/>
              <w:bottom w:val="single" w:color="auto" w:sz="4" w:space="0"/>
              <w:right w:val="single" w:color="auto" w:sz="4" w:space="0"/>
            </w:tcBorders>
            <w:vAlign w:val="center"/>
          </w:tcPr>
          <w:p w14:paraId="260FA015">
            <w:pPr>
              <w:spacing w:line="360" w:lineRule="auto"/>
              <w:jc w:val="center"/>
              <w:rPr>
                <w:rFonts w:ascii="宋体" w:hAnsi="宋体" w:eastAsia="宋体"/>
                <w:b/>
              </w:rPr>
            </w:pPr>
            <w:r>
              <w:rPr>
                <w:rFonts w:hint="eastAsia" w:ascii="宋体" w:hAnsi="宋体" w:eastAsia="宋体"/>
                <w:b/>
              </w:rPr>
              <w:t>地点</w:t>
            </w:r>
          </w:p>
        </w:tc>
        <w:tc>
          <w:tcPr>
            <w:tcW w:w="1355" w:type="dxa"/>
            <w:vMerge w:val="restart"/>
            <w:tcBorders>
              <w:top w:val="single" w:color="auto" w:sz="4" w:space="0"/>
              <w:left w:val="single" w:color="auto" w:sz="4" w:space="0"/>
              <w:bottom w:val="single" w:color="auto" w:sz="4" w:space="0"/>
              <w:right w:val="single" w:color="auto" w:sz="4" w:space="0"/>
            </w:tcBorders>
            <w:vAlign w:val="center"/>
          </w:tcPr>
          <w:p w14:paraId="407D07CA">
            <w:pPr>
              <w:spacing w:line="360" w:lineRule="auto"/>
              <w:jc w:val="center"/>
              <w:rPr>
                <w:rFonts w:ascii="宋体" w:hAnsi="宋体" w:eastAsia="宋体"/>
                <w:b/>
              </w:rPr>
            </w:pPr>
            <w:r>
              <w:rPr>
                <w:rFonts w:hint="eastAsia" w:ascii="宋体" w:hAnsi="宋体" w:eastAsia="宋体"/>
                <w:b/>
              </w:rPr>
              <w:t>备注</w:t>
            </w:r>
          </w:p>
        </w:tc>
      </w:tr>
      <w:tr w14:paraId="4D03F5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vMerge w:val="continue"/>
            <w:tcBorders>
              <w:top w:val="single" w:color="auto" w:sz="4" w:space="0"/>
              <w:left w:val="single" w:color="auto" w:sz="4" w:space="0"/>
              <w:bottom w:val="single" w:color="auto" w:sz="4" w:space="0"/>
              <w:right w:val="single" w:color="auto" w:sz="4" w:space="0"/>
            </w:tcBorders>
            <w:vAlign w:val="center"/>
          </w:tcPr>
          <w:p w14:paraId="0BEB24A6">
            <w:pPr>
              <w:widowControl/>
              <w:jc w:val="left"/>
              <w:rPr>
                <w:rFonts w:ascii="宋体" w:hAnsi="宋体" w:eastAsia="宋体"/>
                <w:b/>
              </w:rPr>
            </w:pPr>
          </w:p>
        </w:tc>
        <w:tc>
          <w:tcPr>
            <w:tcW w:w="0" w:type="auto"/>
            <w:vMerge w:val="continue"/>
            <w:tcBorders>
              <w:top w:val="single" w:color="auto" w:sz="4" w:space="0"/>
              <w:left w:val="single" w:color="auto" w:sz="4" w:space="0"/>
              <w:bottom w:val="single" w:color="auto" w:sz="4" w:space="0"/>
              <w:right w:val="single" w:color="auto" w:sz="4" w:space="0"/>
            </w:tcBorders>
            <w:vAlign w:val="center"/>
          </w:tcPr>
          <w:p w14:paraId="56E998DE">
            <w:pPr>
              <w:widowControl/>
              <w:jc w:val="left"/>
              <w:rPr>
                <w:rFonts w:ascii="宋体" w:hAnsi="宋体" w:eastAsia="宋体"/>
                <w:b/>
              </w:rPr>
            </w:pPr>
          </w:p>
        </w:tc>
        <w:tc>
          <w:tcPr>
            <w:tcW w:w="0" w:type="auto"/>
            <w:vMerge w:val="continue"/>
            <w:tcBorders>
              <w:top w:val="single" w:color="auto" w:sz="4" w:space="0"/>
              <w:left w:val="single" w:color="auto" w:sz="4" w:space="0"/>
              <w:bottom w:val="single" w:color="auto" w:sz="4" w:space="0"/>
              <w:right w:val="single" w:color="auto" w:sz="4" w:space="0"/>
            </w:tcBorders>
            <w:vAlign w:val="center"/>
          </w:tcPr>
          <w:p w14:paraId="5A9A6F10">
            <w:pPr>
              <w:widowControl/>
              <w:jc w:val="left"/>
              <w:rPr>
                <w:rFonts w:ascii="宋体" w:hAnsi="宋体" w:eastAsia="宋体"/>
                <w:b/>
              </w:rPr>
            </w:pPr>
          </w:p>
        </w:tc>
        <w:tc>
          <w:tcPr>
            <w:tcW w:w="992" w:type="dxa"/>
            <w:tcBorders>
              <w:top w:val="single" w:color="auto" w:sz="4" w:space="0"/>
              <w:left w:val="single" w:color="auto" w:sz="4" w:space="0"/>
              <w:bottom w:val="single" w:color="auto" w:sz="4" w:space="0"/>
              <w:right w:val="single" w:color="auto" w:sz="4" w:space="0"/>
            </w:tcBorders>
            <w:vAlign w:val="center"/>
          </w:tcPr>
          <w:p w14:paraId="71A3A0A9">
            <w:pPr>
              <w:spacing w:line="360" w:lineRule="auto"/>
              <w:jc w:val="center"/>
              <w:rPr>
                <w:rFonts w:ascii="宋体" w:hAnsi="宋体" w:eastAsia="宋体"/>
                <w:b/>
                <w:sz w:val="24"/>
                <w:szCs w:val="24"/>
              </w:rPr>
            </w:pPr>
            <w:r>
              <w:rPr>
                <w:rFonts w:hint="eastAsia" w:ascii="宋体" w:hAnsi="宋体" w:eastAsia="宋体"/>
                <w:b/>
              </w:rPr>
              <w:t>职称</w:t>
            </w:r>
          </w:p>
        </w:tc>
        <w:tc>
          <w:tcPr>
            <w:tcW w:w="993" w:type="dxa"/>
            <w:tcBorders>
              <w:top w:val="single" w:color="auto" w:sz="4" w:space="0"/>
              <w:left w:val="single" w:color="auto" w:sz="4" w:space="0"/>
              <w:bottom w:val="single" w:color="auto" w:sz="4" w:space="0"/>
              <w:right w:val="single" w:color="auto" w:sz="4" w:space="0"/>
            </w:tcBorders>
            <w:vAlign w:val="center"/>
          </w:tcPr>
          <w:p w14:paraId="2D576A28">
            <w:pPr>
              <w:spacing w:line="360" w:lineRule="auto"/>
              <w:jc w:val="center"/>
              <w:rPr>
                <w:rFonts w:ascii="宋体" w:hAnsi="宋体" w:eastAsia="宋体"/>
                <w:b/>
                <w:sz w:val="24"/>
                <w:szCs w:val="24"/>
              </w:rPr>
            </w:pPr>
            <w:r>
              <w:rPr>
                <w:rFonts w:hint="eastAsia" w:ascii="宋体" w:hAnsi="宋体" w:eastAsia="宋体"/>
                <w:b/>
              </w:rPr>
              <w:t>人数</w:t>
            </w:r>
          </w:p>
        </w:tc>
        <w:tc>
          <w:tcPr>
            <w:tcW w:w="0" w:type="auto"/>
            <w:vMerge w:val="continue"/>
            <w:tcBorders>
              <w:top w:val="single" w:color="auto" w:sz="4" w:space="0"/>
              <w:left w:val="single" w:color="auto" w:sz="4" w:space="0"/>
              <w:bottom w:val="single" w:color="auto" w:sz="4" w:space="0"/>
              <w:right w:val="single" w:color="auto" w:sz="4" w:space="0"/>
            </w:tcBorders>
            <w:vAlign w:val="center"/>
          </w:tcPr>
          <w:p w14:paraId="0D9056A1">
            <w:pPr>
              <w:widowControl/>
              <w:jc w:val="left"/>
              <w:rPr>
                <w:rFonts w:ascii="宋体" w:hAnsi="宋体" w:eastAsia="宋体"/>
                <w:b/>
              </w:rPr>
            </w:pPr>
          </w:p>
        </w:tc>
        <w:tc>
          <w:tcPr>
            <w:tcW w:w="0" w:type="auto"/>
            <w:vMerge w:val="continue"/>
            <w:tcBorders>
              <w:top w:val="single" w:color="auto" w:sz="4" w:space="0"/>
              <w:left w:val="single" w:color="auto" w:sz="4" w:space="0"/>
              <w:bottom w:val="single" w:color="auto" w:sz="4" w:space="0"/>
              <w:right w:val="single" w:color="auto" w:sz="4" w:space="0"/>
            </w:tcBorders>
            <w:vAlign w:val="center"/>
          </w:tcPr>
          <w:p w14:paraId="755806A6">
            <w:pPr>
              <w:widowControl/>
              <w:jc w:val="left"/>
              <w:rPr>
                <w:rFonts w:ascii="宋体" w:hAnsi="宋体" w:eastAsia="宋体"/>
                <w:b/>
              </w:rPr>
            </w:pPr>
          </w:p>
        </w:tc>
      </w:tr>
      <w:tr w14:paraId="2710D3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46" w:type="dxa"/>
            <w:tcBorders>
              <w:top w:val="single" w:color="auto" w:sz="4" w:space="0"/>
              <w:left w:val="single" w:color="auto" w:sz="4" w:space="0"/>
              <w:bottom w:val="single" w:color="auto" w:sz="4" w:space="0"/>
              <w:right w:val="single" w:color="auto" w:sz="4" w:space="0"/>
            </w:tcBorders>
            <w:vAlign w:val="center"/>
          </w:tcPr>
          <w:p w14:paraId="2BFE8D65">
            <w:pPr>
              <w:spacing w:line="360" w:lineRule="auto"/>
              <w:jc w:val="center"/>
              <w:rPr>
                <w:rFonts w:ascii="宋体" w:hAnsi="宋体" w:eastAsia="宋体"/>
              </w:rPr>
            </w:pPr>
            <w:r>
              <w:rPr>
                <w:rFonts w:hint="eastAsia" w:ascii="宋体" w:hAnsi="宋体" w:eastAsia="宋体"/>
              </w:rPr>
              <w:t>1</w:t>
            </w:r>
          </w:p>
        </w:tc>
        <w:tc>
          <w:tcPr>
            <w:tcW w:w="2268" w:type="dxa"/>
            <w:tcBorders>
              <w:top w:val="single" w:color="auto" w:sz="4" w:space="0"/>
              <w:left w:val="single" w:color="auto" w:sz="4" w:space="0"/>
              <w:bottom w:val="single" w:color="auto" w:sz="4" w:space="0"/>
              <w:right w:val="single" w:color="auto" w:sz="4" w:space="0"/>
            </w:tcBorders>
            <w:vAlign w:val="center"/>
          </w:tcPr>
          <w:p w14:paraId="5F831EAD">
            <w:pPr>
              <w:spacing w:line="360" w:lineRule="auto"/>
              <w:jc w:val="center"/>
              <w:rPr>
                <w:rFonts w:ascii="宋体" w:hAnsi="宋体" w:eastAsia="宋体"/>
              </w:rPr>
            </w:pPr>
            <w:r>
              <w:rPr>
                <w:rFonts w:hint="eastAsia" w:ascii="宋体" w:hAnsi="宋体" w:eastAsia="宋体"/>
              </w:rPr>
              <w:t>现场操作及调试培训</w:t>
            </w:r>
          </w:p>
        </w:tc>
        <w:tc>
          <w:tcPr>
            <w:tcW w:w="992" w:type="dxa"/>
            <w:tcBorders>
              <w:top w:val="single" w:color="auto" w:sz="4" w:space="0"/>
              <w:left w:val="single" w:color="auto" w:sz="4" w:space="0"/>
              <w:bottom w:val="single" w:color="auto" w:sz="4" w:space="0"/>
              <w:right w:val="single" w:color="auto" w:sz="4" w:space="0"/>
            </w:tcBorders>
            <w:vAlign w:val="center"/>
          </w:tcPr>
          <w:p w14:paraId="443CBB86">
            <w:pPr>
              <w:spacing w:line="360" w:lineRule="auto"/>
              <w:jc w:val="center"/>
              <w:rPr>
                <w:rFonts w:ascii="宋体" w:hAnsi="宋体" w:eastAsia="宋体"/>
              </w:rPr>
            </w:pPr>
            <w:r>
              <w:rPr>
                <w:rFonts w:hint="eastAsia" w:ascii="宋体" w:hAnsi="宋体" w:eastAsia="宋体"/>
              </w:rPr>
              <w:t>1</w:t>
            </w:r>
          </w:p>
        </w:tc>
        <w:tc>
          <w:tcPr>
            <w:tcW w:w="992" w:type="dxa"/>
            <w:tcBorders>
              <w:top w:val="single" w:color="auto" w:sz="4" w:space="0"/>
              <w:left w:val="single" w:color="auto" w:sz="4" w:space="0"/>
              <w:bottom w:val="single" w:color="auto" w:sz="4" w:space="0"/>
              <w:right w:val="single" w:color="auto" w:sz="4" w:space="0"/>
            </w:tcBorders>
            <w:vAlign w:val="center"/>
          </w:tcPr>
          <w:p w14:paraId="68F2D400">
            <w:pPr>
              <w:spacing w:line="360" w:lineRule="auto"/>
              <w:jc w:val="center"/>
              <w:rPr>
                <w:rFonts w:ascii="宋体" w:hAnsi="宋体" w:eastAsia="宋体"/>
              </w:rPr>
            </w:pPr>
            <w:r>
              <w:rPr>
                <w:rFonts w:hint="eastAsia" w:ascii="宋体" w:hAnsi="宋体" w:eastAsia="宋体"/>
              </w:rPr>
              <w:t>工程师</w:t>
            </w:r>
          </w:p>
        </w:tc>
        <w:tc>
          <w:tcPr>
            <w:tcW w:w="993" w:type="dxa"/>
            <w:tcBorders>
              <w:top w:val="single" w:color="auto" w:sz="4" w:space="0"/>
              <w:left w:val="single" w:color="auto" w:sz="4" w:space="0"/>
              <w:bottom w:val="single" w:color="auto" w:sz="4" w:space="0"/>
              <w:right w:val="single" w:color="auto" w:sz="4" w:space="0"/>
            </w:tcBorders>
            <w:vAlign w:val="center"/>
          </w:tcPr>
          <w:p w14:paraId="46BBF96A">
            <w:pPr>
              <w:spacing w:line="360" w:lineRule="auto"/>
              <w:jc w:val="center"/>
              <w:rPr>
                <w:rFonts w:ascii="宋体" w:hAnsi="宋体" w:eastAsia="宋体"/>
              </w:rPr>
            </w:pPr>
            <w:r>
              <w:rPr>
                <w:rFonts w:hint="eastAsia" w:ascii="宋体" w:hAnsi="宋体" w:eastAsia="宋体"/>
              </w:rPr>
              <w:t>1</w:t>
            </w:r>
          </w:p>
        </w:tc>
        <w:tc>
          <w:tcPr>
            <w:tcW w:w="850" w:type="dxa"/>
            <w:tcBorders>
              <w:top w:val="single" w:color="auto" w:sz="4" w:space="0"/>
              <w:left w:val="single" w:color="auto" w:sz="4" w:space="0"/>
              <w:bottom w:val="single" w:color="auto" w:sz="4" w:space="0"/>
              <w:right w:val="single" w:color="auto" w:sz="4" w:space="0"/>
            </w:tcBorders>
            <w:vAlign w:val="center"/>
          </w:tcPr>
          <w:p w14:paraId="345C2330">
            <w:pPr>
              <w:spacing w:line="360" w:lineRule="auto"/>
              <w:jc w:val="center"/>
              <w:rPr>
                <w:rFonts w:ascii="宋体" w:hAnsi="宋体" w:eastAsia="宋体"/>
              </w:rPr>
            </w:pPr>
            <w:r>
              <w:rPr>
                <w:rFonts w:hint="eastAsia" w:ascii="宋体" w:hAnsi="宋体" w:eastAsia="宋体"/>
              </w:rPr>
              <w:t>现场</w:t>
            </w:r>
          </w:p>
        </w:tc>
        <w:tc>
          <w:tcPr>
            <w:tcW w:w="1355" w:type="dxa"/>
            <w:tcBorders>
              <w:top w:val="single" w:color="auto" w:sz="4" w:space="0"/>
              <w:left w:val="single" w:color="auto" w:sz="4" w:space="0"/>
              <w:bottom w:val="single" w:color="auto" w:sz="4" w:space="0"/>
              <w:right w:val="single" w:color="auto" w:sz="4" w:space="0"/>
            </w:tcBorders>
            <w:vAlign w:val="center"/>
          </w:tcPr>
          <w:p w14:paraId="4DBEAD72">
            <w:pPr>
              <w:spacing w:line="360" w:lineRule="auto"/>
              <w:jc w:val="center"/>
              <w:rPr>
                <w:rFonts w:ascii="宋体" w:hAnsi="宋体" w:eastAsia="宋体"/>
              </w:rPr>
            </w:pPr>
          </w:p>
        </w:tc>
      </w:tr>
      <w:tr w14:paraId="543A4D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46" w:type="dxa"/>
            <w:tcBorders>
              <w:top w:val="single" w:color="auto" w:sz="4" w:space="0"/>
              <w:left w:val="single" w:color="auto" w:sz="4" w:space="0"/>
              <w:bottom w:val="single" w:color="auto" w:sz="4" w:space="0"/>
              <w:right w:val="single" w:color="auto" w:sz="4" w:space="0"/>
            </w:tcBorders>
            <w:vAlign w:val="center"/>
          </w:tcPr>
          <w:p w14:paraId="4B8B8404">
            <w:pPr>
              <w:spacing w:line="360" w:lineRule="auto"/>
              <w:jc w:val="center"/>
              <w:rPr>
                <w:rFonts w:ascii="宋体" w:hAnsi="宋体" w:eastAsia="宋体"/>
              </w:rPr>
            </w:pPr>
            <w:r>
              <w:rPr>
                <w:rFonts w:hint="eastAsia" w:ascii="宋体" w:hAnsi="宋体" w:eastAsia="宋体"/>
              </w:rPr>
              <w:t>2</w:t>
            </w:r>
          </w:p>
        </w:tc>
        <w:tc>
          <w:tcPr>
            <w:tcW w:w="2268" w:type="dxa"/>
            <w:tcBorders>
              <w:top w:val="single" w:color="auto" w:sz="4" w:space="0"/>
              <w:left w:val="single" w:color="auto" w:sz="4" w:space="0"/>
              <w:bottom w:val="single" w:color="auto" w:sz="4" w:space="0"/>
              <w:right w:val="single" w:color="auto" w:sz="4" w:space="0"/>
            </w:tcBorders>
            <w:vAlign w:val="center"/>
          </w:tcPr>
          <w:p w14:paraId="4254669E">
            <w:pPr>
              <w:spacing w:line="360" w:lineRule="auto"/>
              <w:jc w:val="center"/>
              <w:rPr>
                <w:rFonts w:ascii="宋体" w:hAnsi="宋体" w:eastAsia="宋体"/>
              </w:rPr>
            </w:pPr>
            <w:r>
              <w:rPr>
                <w:rFonts w:hint="eastAsia" w:ascii="宋体" w:hAnsi="宋体" w:eastAsia="宋体"/>
              </w:rPr>
              <w:t>理论培训</w:t>
            </w:r>
          </w:p>
        </w:tc>
        <w:tc>
          <w:tcPr>
            <w:tcW w:w="992" w:type="dxa"/>
            <w:tcBorders>
              <w:top w:val="single" w:color="auto" w:sz="4" w:space="0"/>
              <w:left w:val="single" w:color="auto" w:sz="4" w:space="0"/>
              <w:bottom w:val="single" w:color="auto" w:sz="4" w:space="0"/>
              <w:right w:val="single" w:color="auto" w:sz="4" w:space="0"/>
            </w:tcBorders>
            <w:vAlign w:val="center"/>
          </w:tcPr>
          <w:p w14:paraId="3AF19B15">
            <w:pPr>
              <w:spacing w:line="360" w:lineRule="auto"/>
              <w:jc w:val="center"/>
              <w:rPr>
                <w:rFonts w:ascii="宋体" w:hAnsi="宋体" w:eastAsia="宋体"/>
              </w:rPr>
            </w:pPr>
            <w:r>
              <w:rPr>
                <w:rFonts w:hint="eastAsia" w:ascii="宋体" w:hAnsi="宋体" w:eastAsia="宋体"/>
              </w:rPr>
              <w:t>1</w:t>
            </w:r>
          </w:p>
        </w:tc>
        <w:tc>
          <w:tcPr>
            <w:tcW w:w="992" w:type="dxa"/>
            <w:tcBorders>
              <w:top w:val="single" w:color="auto" w:sz="4" w:space="0"/>
              <w:left w:val="single" w:color="auto" w:sz="4" w:space="0"/>
              <w:bottom w:val="single" w:color="auto" w:sz="4" w:space="0"/>
              <w:right w:val="single" w:color="auto" w:sz="4" w:space="0"/>
            </w:tcBorders>
            <w:vAlign w:val="center"/>
          </w:tcPr>
          <w:p w14:paraId="61D74CBE">
            <w:pPr>
              <w:spacing w:line="360" w:lineRule="auto"/>
              <w:jc w:val="center"/>
              <w:rPr>
                <w:rFonts w:ascii="宋体" w:hAnsi="宋体" w:eastAsia="宋体"/>
              </w:rPr>
            </w:pPr>
            <w:r>
              <w:rPr>
                <w:rFonts w:hint="eastAsia" w:ascii="宋体" w:hAnsi="宋体" w:eastAsia="宋体"/>
              </w:rPr>
              <w:t>工程师</w:t>
            </w:r>
          </w:p>
        </w:tc>
        <w:tc>
          <w:tcPr>
            <w:tcW w:w="993" w:type="dxa"/>
            <w:tcBorders>
              <w:top w:val="single" w:color="auto" w:sz="4" w:space="0"/>
              <w:left w:val="single" w:color="auto" w:sz="4" w:space="0"/>
              <w:bottom w:val="single" w:color="auto" w:sz="4" w:space="0"/>
              <w:right w:val="single" w:color="auto" w:sz="4" w:space="0"/>
            </w:tcBorders>
            <w:vAlign w:val="center"/>
          </w:tcPr>
          <w:p w14:paraId="1BA8063E">
            <w:pPr>
              <w:spacing w:line="360" w:lineRule="auto"/>
              <w:jc w:val="center"/>
              <w:rPr>
                <w:rFonts w:ascii="宋体" w:hAnsi="宋体" w:eastAsia="宋体"/>
              </w:rPr>
            </w:pPr>
            <w:r>
              <w:rPr>
                <w:rFonts w:hint="eastAsia" w:ascii="宋体" w:hAnsi="宋体" w:eastAsia="宋体"/>
              </w:rPr>
              <w:t>1</w:t>
            </w:r>
          </w:p>
        </w:tc>
        <w:tc>
          <w:tcPr>
            <w:tcW w:w="850" w:type="dxa"/>
            <w:tcBorders>
              <w:top w:val="single" w:color="auto" w:sz="4" w:space="0"/>
              <w:left w:val="single" w:color="auto" w:sz="4" w:space="0"/>
              <w:bottom w:val="single" w:color="auto" w:sz="4" w:space="0"/>
              <w:right w:val="single" w:color="auto" w:sz="4" w:space="0"/>
            </w:tcBorders>
            <w:vAlign w:val="center"/>
          </w:tcPr>
          <w:p w14:paraId="18043D9C">
            <w:pPr>
              <w:spacing w:line="360" w:lineRule="auto"/>
              <w:jc w:val="center"/>
              <w:rPr>
                <w:rFonts w:ascii="宋体" w:hAnsi="宋体" w:eastAsia="宋体"/>
              </w:rPr>
            </w:pPr>
            <w:r>
              <w:rPr>
                <w:rFonts w:hint="eastAsia" w:ascii="宋体" w:hAnsi="宋体" w:eastAsia="宋体"/>
              </w:rPr>
              <w:t>现场</w:t>
            </w:r>
          </w:p>
        </w:tc>
        <w:tc>
          <w:tcPr>
            <w:tcW w:w="1355" w:type="dxa"/>
            <w:tcBorders>
              <w:top w:val="single" w:color="auto" w:sz="4" w:space="0"/>
              <w:left w:val="single" w:color="auto" w:sz="4" w:space="0"/>
              <w:bottom w:val="single" w:color="auto" w:sz="4" w:space="0"/>
              <w:right w:val="single" w:color="auto" w:sz="4" w:space="0"/>
            </w:tcBorders>
            <w:vAlign w:val="center"/>
          </w:tcPr>
          <w:p w14:paraId="75BC4F47">
            <w:pPr>
              <w:spacing w:line="360" w:lineRule="auto"/>
              <w:jc w:val="center"/>
              <w:rPr>
                <w:rFonts w:ascii="宋体" w:hAnsi="宋体" w:eastAsia="宋体"/>
              </w:rPr>
            </w:pPr>
          </w:p>
        </w:tc>
      </w:tr>
      <w:tr w14:paraId="4EE0F9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46" w:type="dxa"/>
            <w:tcBorders>
              <w:top w:val="single" w:color="auto" w:sz="4" w:space="0"/>
              <w:left w:val="single" w:color="auto" w:sz="4" w:space="0"/>
              <w:bottom w:val="single" w:color="auto" w:sz="4" w:space="0"/>
              <w:right w:val="single" w:color="auto" w:sz="4" w:space="0"/>
            </w:tcBorders>
            <w:vAlign w:val="center"/>
          </w:tcPr>
          <w:p w14:paraId="5BAFB740">
            <w:pPr>
              <w:spacing w:line="360" w:lineRule="auto"/>
              <w:jc w:val="center"/>
              <w:rPr>
                <w:rFonts w:ascii="宋体" w:hAnsi="宋体" w:eastAsia="宋体"/>
              </w:rPr>
            </w:pPr>
            <w:r>
              <w:rPr>
                <w:rFonts w:hint="eastAsia" w:ascii="宋体" w:hAnsi="宋体" w:eastAsia="宋体"/>
              </w:rPr>
              <w:t>3</w:t>
            </w:r>
          </w:p>
        </w:tc>
        <w:tc>
          <w:tcPr>
            <w:tcW w:w="2268" w:type="dxa"/>
            <w:tcBorders>
              <w:top w:val="single" w:color="auto" w:sz="4" w:space="0"/>
              <w:left w:val="single" w:color="auto" w:sz="4" w:space="0"/>
              <w:bottom w:val="single" w:color="auto" w:sz="4" w:space="0"/>
              <w:right w:val="single" w:color="auto" w:sz="4" w:space="0"/>
            </w:tcBorders>
            <w:vAlign w:val="center"/>
          </w:tcPr>
          <w:p w14:paraId="7F15EE69">
            <w:pPr>
              <w:spacing w:line="360" w:lineRule="auto"/>
              <w:jc w:val="center"/>
              <w:rPr>
                <w:rFonts w:ascii="宋体" w:hAnsi="宋体" w:eastAsia="宋体"/>
              </w:rPr>
            </w:pPr>
            <w:r>
              <w:rPr>
                <w:rFonts w:hint="eastAsia" w:ascii="宋体" w:hAnsi="宋体" w:eastAsia="宋体"/>
              </w:rPr>
              <w:t>设备调试</w:t>
            </w:r>
          </w:p>
        </w:tc>
        <w:tc>
          <w:tcPr>
            <w:tcW w:w="992" w:type="dxa"/>
            <w:tcBorders>
              <w:top w:val="single" w:color="auto" w:sz="4" w:space="0"/>
              <w:left w:val="single" w:color="auto" w:sz="4" w:space="0"/>
              <w:bottom w:val="single" w:color="auto" w:sz="4" w:space="0"/>
              <w:right w:val="single" w:color="auto" w:sz="4" w:space="0"/>
            </w:tcBorders>
            <w:vAlign w:val="center"/>
          </w:tcPr>
          <w:p w14:paraId="07681C06">
            <w:pPr>
              <w:spacing w:line="360" w:lineRule="auto"/>
              <w:jc w:val="center"/>
              <w:rPr>
                <w:rFonts w:ascii="宋体" w:hAnsi="宋体" w:eastAsia="宋体"/>
              </w:rPr>
            </w:pPr>
            <w:r>
              <w:rPr>
                <w:rFonts w:hint="eastAsia" w:ascii="宋体" w:hAnsi="宋体" w:eastAsia="宋体"/>
              </w:rPr>
              <w:t>1</w:t>
            </w:r>
          </w:p>
        </w:tc>
        <w:tc>
          <w:tcPr>
            <w:tcW w:w="992" w:type="dxa"/>
            <w:tcBorders>
              <w:top w:val="single" w:color="auto" w:sz="4" w:space="0"/>
              <w:left w:val="single" w:color="auto" w:sz="4" w:space="0"/>
              <w:bottom w:val="single" w:color="auto" w:sz="4" w:space="0"/>
              <w:right w:val="single" w:color="auto" w:sz="4" w:space="0"/>
            </w:tcBorders>
            <w:vAlign w:val="center"/>
          </w:tcPr>
          <w:p w14:paraId="4007B89E">
            <w:pPr>
              <w:spacing w:line="360" w:lineRule="auto"/>
              <w:jc w:val="center"/>
              <w:rPr>
                <w:rFonts w:ascii="宋体" w:hAnsi="宋体" w:eastAsia="宋体"/>
              </w:rPr>
            </w:pPr>
            <w:r>
              <w:rPr>
                <w:rFonts w:hint="eastAsia" w:ascii="宋体" w:hAnsi="宋体" w:eastAsia="宋体"/>
              </w:rPr>
              <w:t>工程师</w:t>
            </w:r>
          </w:p>
        </w:tc>
        <w:tc>
          <w:tcPr>
            <w:tcW w:w="993" w:type="dxa"/>
            <w:tcBorders>
              <w:top w:val="single" w:color="auto" w:sz="4" w:space="0"/>
              <w:left w:val="single" w:color="auto" w:sz="4" w:space="0"/>
              <w:bottom w:val="single" w:color="auto" w:sz="4" w:space="0"/>
              <w:right w:val="single" w:color="auto" w:sz="4" w:space="0"/>
            </w:tcBorders>
            <w:vAlign w:val="center"/>
          </w:tcPr>
          <w:p w14:paraId="03426636">
            <w:pPr>
              <w:spacing w:line="360" w:lineRule="auto"/>
              <w:jc w:val="center"/>
              <w:rPr>
                <w:rFonts w:ascii="宋体" w:hAnsi="宋体" w:eastAsia="宋体"/>
              </w:rPr>
            </w:pPr>
            <w:r>
              <w:rPr>
                <w:rFonts w:hint="eastAsia" w:ascii="宋体" w:hAnsi="宋体" w:eastAsia="宋体"/>
              </w:rPr>
              <w:t>1</w:t>
            </w:r>
          </w:p>
        </w:tc>
        <w:tc>
          <w:tcPr>
            <w:tcW w:w="850" w:type="dxa"/>
            <w:tcBorders>
              <w:top w:val="single" w:color="auto" w:sz="4" w:space="0"/>
              <w:left w:val="single" w:color="auto" w:sz="4" w:space="0"/>
              <w:bottom w:val="single" w:color="auto" w:sz="4" w:space="0"/>
              <w:right w:val="single" w:color="auto" w:sz="4" w:space="0"/>
            </w:tcBorders>
            <w:vAlign w:val="center"/>
          </w:tcPr>
          <w:p w14:paraId="2557CCCF">
            <w:pPr>
              <w:spacing w:line="360" w:lineRule="auto"/>
              <w:jc w:val="center"/>
              <w:rPr>
                <w:rFonts w:ascii="宋体" w:hAnsi="宋体" w:eastAsia="宋体"/>
              </w:rPr>
            </w:pPr>
            <w:r>
              <w:rPr>
                <w:rFonts w:hint="eastAsia" w:ascii="宋体" w:hAnsi="宋体" w:eastAsia="宋体"/>
              </w:rPr>
              <w:t>现场</w:t>
            </w:r>
          </w:p>
        </w:tc>
        <w:tc>
          <w:tcPr>
            <w:tcW w:w="1355" w:type="dxa"/>
            <w:tcBorders>
              <w:top w:val="single" w:color="auto" w:sz="4" w:space="0"/>
              <w:left w:val="single" w:color="auto" w:sz="4" w:space="0"/>
              <w:bottom w:val="single" w:color="auto" w:sz="4" w:space="0"/>
              <w:right w:val="single" w:color="auto" w:sz="4" w:space="0"/>
            </w:tcBorders>
            <w:vAlign w:val="center"/>
          </w:tcPr>
          <w:p w14:paraId="3458D49A">
            <w:pPr>
              <w:spacing w:line="360" w:lineRule="auto"/>
              <w:jc w:val="center"/>
              <w:rPr>
                <w:rFonts w:ascii="宋体" w:hAnsi="宋体" w:eastAsia="宋体"/>
              </w:rPr>
            </w:pPr>
          </w:p>
        </w:tc>
      </w:tr>
    </w:tbl>
    <w:p w14:paraId="27D6501D">
      <w:pPr>
        <w:pStyle w:val="18"/>
        <w:numPr>
          <w:ilvl w:val="0"/>
          <w:numId w:val="21"/>
        </w:numPr>
        <w:spacing w:line="360" w:lineRule="auto"/>
        <w:ind w:left="0" w:firstLine="480"/>
        <w:rPr>
          <w:rFonts w:ascii="宋体" w:hAnsi="宋体" w:eastAsia="宋体"/>
          <w:sz w:val="24"/>
          <w:szCs w:val="24"/>
        </w:rPr>
      </w:pPr>
      <w:r>
        <w:rPr>
          <w:rFonts w:hint="eastAsia" w:ascii="宋体" w:hAnsi="宋体" w:eastAsia="宋体"/>
          <w:sz w:val="24"/>
          <w:szCs w:val="24"/>
        </w:rPr>
        <w:t>培训的时间、人数、地点等具体内容由供需双方商定。</w:t>
      </w:r>
    </w:p>
    <w:p w14:paraId="63CC3735">
      <w:pPr>
        <w:pStyle w:val="18"/>
        <w:numPr>
          <w:ilvl w:val="0"/>
          <w:numId w:val="21"/>
        </w:numPr>
        <w:spacing w:line="360" w:lineRule="auto"/>
        <w:ind w:left="0" w:firstLine="480"/>
        <w:rPr>
          <w:rFonts w:ascii="宋体" w:hAnsi="宋体" w:eastAsia="宋体"/>
          <w:sz w:val="24"/>
          <w:szCs w:val="24"/>
        </w:rPr>
      </w:pPr>
      <w:r>
        <w:rPr>
          <w:rFonts w:hint="eastAsia" w:ascii="宋体" w:hAnsi="宋体" w:eastAsia="宋体"/>
          <w:sz w:val="24"/>
          <w:szCs w:val="24"/>
        </w:rPr>
        <w:t>招标人为投标人的培训提供设备、场地等培训条件，并提供食宿和交通方便。</w:t>
      </w:r>
    </w:p>
    <w:p w14:paraId="2C6EE1D1">
      <w:pPr>
        <w:spacing w:line="360" w:lineRule="auto"/>
        <w:ind w:firstLine="480" w:firstLineChars="200"/>
        <w:rPr>
          <w:rFonts w:ascii="宋体" w:hAnsi="宋体" w:eastAsia="宋体"/>
          <w:kern w:val="24"/>
          <w:sz w:val="24"/>
        </w:rPr>
      </w:pPr>
      <w:r>
        <w:rPr>
          <w:rFonts w:hint="eastAsia" w:ascii="宋体" w:hAnsi="宋体" w:eastAsia="宋体"/>
          <w:kern w:val="24"/>
          <w:sz w:val="24"/>
        </w:rPr>
        <w:t>注：根据甲方需求提供有偿服务</w:t>
      </w:r>
    </w:p>
    <w:p w14:paraId="22B5DFF1">
      <w:pPr>
        <w:spacing w:line="360" w:lineRule="auto"/>
        <w:rPr>
          <w:rFonts w:ascii="宋体" w:hAnsi="宋体"/>
          <w:color w:val="000000"/>
          <w:sz w:val="22"/>
        </w:rPr>
      </w:pPr>
    </w:p>
    <w:p w14:paraId="40F41EDC">
      <w:pPr>
        <w:pStyle w:val="18"/>
        <w:keepNext/>
        <w:keepLines/>
        <w:numPr>
          <w:ilvl w:val="0"/>
          <w:numId w:val="2"/>
        </w:numPr>
        <w:spacing w:line="360" w:lineRule="auto"/>
        <w:ind w:firstLineChars="0"/>
        <w:outlineLvl w:val="0"/>
        <w:rPr>
          <w:rFonts w:ascii="宋体" w:hAnsi="宋体" w:eastAsia="宋体"/>
          <w:b/>
          <w:sz w:val="28"/>
          <w:szCs w:val="24"/>
        </w:rPr>
      </w:pPr>
      <w:r>
        <w:rPr>
          <w:rFonts w:hint="eastAsia" w:ascii="宋体" w:hAnsi="宋体" w:eastAsia="宋体"/>
          <w:b/>
          <w:sz w:val="28"/>
          <w:szCs w:val="24"/>
        </w:rPr>
        <w:t>供货清单</w:t>
      </w:r>
    </w:p>
    <w:p w14:paraId="754FF5C9">
      <w:pPr>
        <w:rPr>
          <w:sz w:val="24"/>
        </w:rPr>
      </w:pPr>
      <w:bookmarkStart w:id="45" w:name="_Toc410227135"/>
      <w:r>
        <w:rPr>
          <w:rFonts w:hint="eastAsia"/>
          <w:sz w:val="24"/>
        </w:rPr>
        <w:t>详见：</w:t>
      </w:r>
    </w:p>
    <w:p w14:paraId="1933CAD7">
      <w:pPr>
        <w:rPr>
          <w:sz w:val="24"/>
        </w:rPr>
      </w:pPr>
      <w:r>
        <w:rPr>
          <w:rFonts w:hint="eastAsia"/>
          <w:sz w:val="24"/>
        </w:rPr>
        <w:t>《</w:t>
      </w:r>
      <w:r>
        <w:rPr>
          <w:rFonts w:hint="eastAsia"/>
          <w:sz w:val="24"/>
          <w:lang w:val="en-US" w:eastAsia="zh-CN"/>
        </w:rPr>
        <w:t>BJ</w:t>
      </w:r>
      <w:r>
        <w:rPr>
          <w:sz w:val="24"/>
        </w:rPr>
        <w:t>项目机械仪表清单汇总一览表 260302</w:t>
      </w:r>
      <w:r>
        <w:rPr>
          <w:rFonts w:hint="eastAsia"/>
          <w:sz w:val="24"/>
        </w:rPr>
        <w:t>》、</w:t>
      </w:r>
    </w:p>
    <w:p w14:paraId="7050BD27">
      <w:pPr>
        <w:rPr>
          <w:sz w:val="24"/>
        </w:rPr>
      </w:pPr>
      <w:r>
        <w:rPr>
          <w:rFonts w:hint="eastAsia"/>
          <w:sz w:val="24"/>
        </w:rPr>
        <w:t>《</w:t>
      </w:r>
      <w:r>
        <w:rPr>
          <w:rFonts w:hint="eastAsia"/>
          <w:sz w:val="24"/>
          <w:lang w:val="en-US" w:eastAsia="zh-CN"/>
        </w:rPr>
        <w:t>BJ</w:t>
      </w:r>
      <w:r>
        <w:rPr>
          <w:sz w:val="24"/>
        </w:rPr>
        <w:t>项目自控仪表清单汇总一览表 260302</w:t>
      </w:r>
      <w:r>
        <w:rPr>
          <w:rFonts w:hint="eastAsia"/>
          <w:sz w:val="24"/>
        </w:rPr>
        <w:t>》。</w:t>
      </w:r>
    </w:p>
    <w:p w14:paraId="64757C33">
      <w:pPr>
        <w:pStyle w:val="18"/>
        <w:keepNext/>
        <w:keepLines/>
        <w:numPr>
          <w:ilvl w:val="0"/>
          <w:numId w:val="2"/>
        </w:numPr>
        <w:spacing w:line="360" w:lineRule="auto"/>
        <w:ind w:firstLineChars="0"/>
        <w:outlineLvl w:val="0"/>
        <w:rPr>
          <w:rFonts w:ascii="宋体" w:hAnsi="宋体" w:eastAsia="宋体"/>
          <w:b/>
          <w:sz w:val="28"/>
          <w:szCs w:val="24"/>
        </w:rPr>
      </w:pPr>
      <w:bookmarkStart w:id="46" w:name="_Toc102664838"/>
      <w:bookmarkStart w:id="47" w:name="_Toc14475"/>
      <w:r>
        <w:rPr>
          <w:rFonts w:hint="eastAsia" w:ascii="宋体" w:hAnsi="宋体" w:eastAsia="宋体"/>
          <w:b/>
          <w:sz w:val="28"/>
          <w:szCs w:val="24"/>
        </w:rPr>
        <w:t>技术偏离</w:t>
      </w:r>
      <w:bookmarkEnd w:id="45"/>
      <w:bookmarkEnd w:id="46"/>
      <w:bookmarkEnd w:id="47"/>
    </w:p>
    <w:tbl>
      <w:tblPr>
        <w:tblStyle w:val="11"/>
        <w:tblW w:w="0" w:type="auto"/>
        <w:jc w:val="center"/>
        <w:tblBorders>
          <w:top w:val="double" w:color="auto" w:sz="6" w:space="0"/>
          <w:left w:val="double" w:color="auto" w:sz="6" w:space="0"/>
          <w:bottom w:val="double" w:color="auto" w:sz="6" w:space="0"/>
          <w:right w:val="double" w:color="auto" w:sz="6" w:space="0"/>
          <w:insideH w:val="none" w:color="auto" w:sz="0" w:space="0"/>
          <w:insideV w:val="none" w:color="auto" w:sz="0" w:space="0"/>
        </w:tblBorders>
        <w:tblLayout w:type="fixed"/>
        <w:tblCellMar>
          <w:top w:w="0" w:type="dxa"/>
          <w:left w:w="28" w:type="dxa"/>
          <w:bottom w:w="0" w:type="dxa"/>
          <w:right w:w="28" w:type="dxa"/>
        </w:tblCellMar>
      </w:tblPr>
      <w:tblGrid>
        <w:gridCol w:w="894"/>
        <w:gridCol w:w="1130"/>
        <w:gridCol w:w="1386"/>
        <w:gridCol w:w="1420"/>
        <w:gridCol w:w="1461"/>
        <w:gridCol w:w="1105"/>
        <w:gridCol w:w="716"/>
      </w:tblGrid>
      <w:tr w14:paraId="476BE722">
        <w:tblPrEx>
          <w:tblBorders>
            <w:top w:val="double" w:color="auto" w:sz="6" w:space="0"/>
            <w:left w:val="double" w:color="auto" w:sz="6" w:space="0"/>
            <w:bottom w:val="double" w:color="auto" w:sz="6" w:space="0"/>
            <w:right w:val="double" w:color="auto" w:sz="6" w:space="0"/>
            <w:insideH w:val="none" w:color="auto" w:sz="0" w:space="0"/>
            <w:insideV w:val="none" w:color="auto" w:sz="0" w:space="0"/>
          </w:tblBorders>
          <w:tblCellMar>
            <w:top w:w="0" w:type="dxa"/>
            <w:left w:w="28" w:type="dxa"/>
            <w:bottom w:w="0" w:type="dxa"/>
            <w:right w:w="28" w:type="dxa"/>
          </w:tblCellMar>
        </w:tblPrEx>
        <w:trPr>
          <w:trHeight w:val="454" w:hRule="atLeast"/>
          <w:jc w:val="center"/>
        </w:trPr>
        <w:tc>
          <w:tcPr>
            <w:tcW w:w="894" w:type="dxa"/>
            <w:tcBorders>
              <w:top w:val="single" w:color="auto" w:sz="4" w:space="0"/>
              <w:left w:val="single" w:color="auto" w:sz="4" w:space="0"/>
              <w:bottom w:val="single" w:color="auto" w:sz="6" w:space="0"/>
              <w:right w:val="single" w:color="auto" w:sz="6" w:space="0"/>
            </w:tcBorders>
            <w:vAlign w:val="center"/>
          </w:tcPr>
          <w:p w14:paraId="0A2A9443">
            <w:pPr>
              <w:spacing w:line="360" w:lineRule="auto"/>
              <w:jc w:val="center"/>
              <w:rPr>
                <w:sz w:val="24"/>
              </w:rPr>
            </w:pPr>
            <w:r>
              <w:rPr>
                <w:rFonts w:hint="eastAsia"/>
                <w:sz w:val="24"/>
              </w:rPr>
              <w:t>序号</w:t>
            </w:r>
          </w:p>
        </w:tc>
        <w:tc>
          <w:tcPr>
            <w:tcW w:w="1130" w:type="dxa"/>
            <w:tcBorders>
              <w:top w:val="single" w:color="auto" w:sz="4" w:space="0"/>
              <w:left w:val="single" w:color="auto" w:sz="6" w:space="0"/>
              <w:bottom w:val="single" w:color="auto" w:sz="6" w:space="0"/>
              <w:right w:val="single" w:color="auto" w:sz="4" w:space="0"/>
            </w:tcBorders>
            <w:vAlign w:val="center"/>
          </w:tcPr>
          <w:p w14:paraId="1E8678C0">
            <w:pPr>
              <w:spacing w:line="360" w:lineRule="auto"/>
              <w:jc w:val="center"/>
              <w:rPr>
                <w:sz w:val="24"/>
              </w:rPr>
            </w:pPr>
            <w:r>
              <w:rPr>
                <w:rFonts w:hint="eastAsia"/>
                <w:sz w:val="24"/>
              </w:rPr>
              <w:t>货物名称</w:t>
            </w:r>
          </w:p>
        </w:tc>
        <w:tc>
          <w:tcPr>
            <w:tcW w:w="1386" w:type="dxa"/>
            <w:tcBorders>
              <w:top w:val="single" w:color="auto" w:sz="4" w:space="0"/>
              <w:left w:val="single" w:color="auto" w:sz="4" w:space="0"/>
              <w:bottom w:val="single" w:color="auto" w:sz="6" w:space="0"/>
              <w:right w:val="single" w:color="auto" w:sz="6" w:space="0"/>
            </w:tcBorders>
            <w:vAlign w:val="center"/>
          </w:tcPr>
          <w:p w14:paraId="27D3303F">
            <w:pPr>
              <w:spacing w:line="360" w:lineRule="auto"/>
              <w:jc w:val="center"/>
              <w:rPr>
                <w:sz w:val="24"/>
              </w:rPr>
            </w:pPr>
            <w:r>
              <w:rPr>
                <w:rFonts w:hint="eastAsia"/>
                <w:sz w:val="24"/>
              </w:rPr>
              <w:t>招标文件</w:t>
            </w:r>
          </w:p>
          <w:p w14:paraId="6BEEBA33">
            <w:pPr>
              <w:spacing w:line="360" w:lineRule="auto"/>
              <w:jc w:val="center"/>
              <w:rPr>
                <w:sz w:val="24"/>
              </w:rPr>
            </w:pPr>
            <w:r>
              <w:rPr>
                <w:rFonts w:hint="eastAsia"/>
                <w:sz w:val="24"/>
              </w:rPr>
              <w:t>条目号</w:t>
            </w:r>
          </w:p>
        </w:tc>
        <w:tc>
          <w:tcPr>
            <w:tcW w:w="1420" w:type="dxa"/>
            <w:tcBorders>
              <w:top w:val="single" w:color="auto" w:sz="4" w:space="0"/>
              <w:left w:val="single" w:color="auto" w:sz="6" w:space="0"/>
              <w:bottom w:val="single" w:color="auto" w:sz="6" w:space="0"/>
              <w:right w:val="single" w:color="auto" w:sz="4" w:space="0"/>
            </w:tcBorders>
            <w:vAlign w:val="center"/>
          </w:tcPr>
          <w:p w14:paraId="406A2426">
            <w:pPr>
              <w:spacing w:line="360" w:lineRule="auto"/>
              <w:jc w:val="center"/>
              <w:rPr>
                <w:sz w:val="24"/>
              </w:rPr>
            </w:pPr>
            <w:r>
              <w:rPr>
                <w:rFonts w:hint="eastAsia"/>
                <w:sz w:val="24"/>
              </w:rPr>
              <w:t>招标文件规格</w:t>
            </w:r>
          </w:p>
        </w:tc>
        <w:tc>
          <w:tcPr>
            <w:tcW w:w="1461" w:type="dxa"/>
            <w:tcBorders>
              <w:top w:val="single" w:color="auto" w:sz="4" w:space="0"/>
              <w:left w:val="single" w:color="auto" w:sz="4" w:space="0"/>
              <w:bottom w:val="single" w:color="auto" w:sz="6" w:space="0"/>
              <w:right w:val="single" w:color="auto" w:sz="6" w:space="0"/>
            </w:tcBorders>
            <w:vAlign w:val="center"/>
          </w:tcPr>
          <w:p w14:paraId="42F995C1">
            <w:pPr>
              <w:spacing w:line="360" w:lineRule="auto"/>
              <w:jc w:val="center"/>
              <w:rPr>
                <w:sz w:val="24"/>
              </w:rPr>
            </w:pPr>
            <w:r>
              <w:rPr>
                <w:rFonts w:hint="eastAsia"/>
                <w:sz w:val="24"/>
              </w:rPr>
              <w:t>投标文件规格</w:t>
            </w:r>
          </w:p>
        </w:tc>
        <w:tc>
          <w:tcPr>
            <w:tcW w:w="1105" w:type="dxa"/>
            <w:tcBorders>
              <w:top w:val="single" w:color="auto" w:sz="4" w:space="0"/>
              <w:left w:val="single" w:color="auto" w:sz="6" w:space="0"/>
              <w:bottom w:val="single" w:color="auto" w:sz="6" w:space="0"/>
              <w:right w:val="single" w:color="auto" w:sz="6" w:space="0"/>
            </w:tcBorders>
            <w:vAlign w:val="center"/>
          </w:tcPr>
          <w:p w14:paraId="7BF2DFAE">
            <w:pPr>
              <w:spacing w:line="360" w:lineRule="auto"/>
              <w:jc w:val="center"/>
              <w:rPr>
                <w:sz w:val="24"/>
              </w:rPr>
            </w:pPr>
            <w:r>
              <w:rPr>
                <w:rFonts w:hint="eastAsia"/>
                <w:sz w:val="24"/>
              </w:rPr>
              <w:t>偏差</w:t>
            </w:r>
          </w:p>
        </w:tc>
        <w:tc>
          <w:tcPr>
            <w:tcW w:w="716" w:type="dxa"/>
            <w:tcBorders>
              <w:top w:val="single" w:color="auto" w:sz="4" w:space="0"/>
              <w:left w:val="single" w:color="auto" w:sz="6" w:space="0"/>
              <w:bottom w:val="single" w:color="auto" w:sz="6" w:space="0"/>
              <w:right w:val="single" w:color="auto" w:sz="4" w:space="0"/>
            </w:tcBorders>
            <w:vAlign w:val="center"/>
          </w:tcPr>
          <w:p w14:paraId="2F7C1CDC">
            <w:pPr>
              <w:spacing w:line="360" w:lineRule="auto"/>
              <w:jc w:val="center"/>
              <w:rPr>
                <w:sz w:val="24"/>
              </w:rPr>
            </w:pPr>
            <w:r>
              <w:rPr>
                <w:rFonts w:hint="eastAsia"/>
                <w:sz w:val="24"/>
              </w:rPr>
              <w:t>备注</w:t>
            </w:r>
          </w:p>
        </w:tc>
      </w:tr>
      <w:tr w14:paraId="65A18047">
        <w:tblPrEx>
          <w:tblBorders>
            <w:top w:val="double" w:color="auto" w:sz="6" w:space="0"/>
            <w:left w:val="double" w:color="auto" w:sz="6" w:space="0"/>
            <w:bottom w:val="double" w:color="auto" w:sz="6" w:space="0"/>
            <w:right w:val="double" w:color="auto" w:sz="6" w:space="0"/>
            <w:insideH w:val="none" w:color="auto" w:sz="0" w:space="0"/>
            <w:insideV w:val="none" w:color="auto" w:sz="0" w:space="0"/>
          </w:tblBorders>
          <w:tblCellMar>
            <w:top w:w="0" w:type="dxa"/>
            <w:left w:w="28" w:type="dxa"/>
            <w:bottom w:w="0" w:type="dxa"/>
            <w:right w:w="28" w:type="dxa"/>
          </w:tblCellMar>
        </w:tblPrEx>
        <w:trPr>
          <w:trHeight w:val="454" w:hRule="atLeast"/>
          <w:jc w:val="center"/>
        </w:trPr>
        <w:tc>
          <w:tcPr>
            <w:tcW w:w="894" w:type="dxa"/>
            <w:tcBorders>
              <w:top w:val="single" w:color="auto" w:sz="6" w:space="0"/>
              <w:left w:val="single" w:color="auto" w:sz="4" w:space="0"/>
              <w:bottom w:val="single" w:color="auto" w:sz="4" w:space="0"/>
              <w:right w:val="single" w:color="auto" w:sz="6" w:space="0"/>
            </w:tcBorders>
            <w:vAlign w:val="center"/>
          </w:tcPr>
          <w:p w14:paraId="118EDA92">
            <w:pPr>
              <w:spacing w:line="300" w:lineRule="exact"/>
              <w:jc w:val="center"/>
              <w:rPr>
                <w:sz w:val="24"/>
              </w:rPr>
            </w:pPr>
          </w:p>
        </w:tc>
        <w:tc>
          <w:tcPr>
            <w:tcW w:w="1130" w:type="dxa"/>
            <w:tcBorders>
              <w:top w:val="single" w:color="auto" w:sz="6" w:space="0"/>
              <w:left w:val="single" w:color="auto" w:sz="6" w:space="0"/>
              <w:bottom w:val="single" w:color="auto" w:sz="4" w:space="0"/>
              <w:right w:val="single" w:color="auto" w:sz="4" w:space="0"/>
            </w:tcBorders>
            <w:vAlign w:val="center"/>
          </w:tcPr>
          <w:p w14:paraId="3063D700">
            <w:pPr>
              <w:spacing w:line="300" w:lineRule="exact"/>
              <w:jc w:val="center"/>
              <w:rPr>
                <w:sz w:val="24"/>
              </w:rPr>
            </w:pPr>
          </w:p>
        </w:tc>
        <w:tc>
          <w:tcPr>
            <w:tcW w:w="1386" w:type="dxa"/>
            <w:tcBorders>
              <w:top w:val="single" w:color="auto" w:sz="6" w:space="0"/>
              <w:left w:val="single" w:color="auto" w:sz="4" w:space="0"/>
              <w:bottom w:val="single" w:color="auto" w:sz="4" w:space="0"/>
              <w:right w:val="single" w:color="auto" w:sz="6" w:space="0"/>
            </w:tcBorders>
            <w:vAlign w:val="center"/>
          </w:tcPr>
          <w:p w14:paraId="013BEB2D">
            <w:pPr>
              <w:spacing w:line="300" w:lineRule="exact"/>
              <w:jc w:val="center"/>
              <w:rPr>
                <w:sz w:val="24"/>
              </w:rPr>
            </w:pPr>
          </w:p>
        </w:tc>
        <w:tc>
          <w:tcPr>
            <w:tcW w:w="1420" w:type="dxa"/>
            <w:tcBorders>
              <w:top w:val="single" w:color="auto" w:sz="6" w:space="0"/>
              <w:left w:val="single" w:color="auto" w:sz="6" w:space="0"/>
              <w:bottom w:val="single" w:color="auto" w:sz="4" w:space="0"/>
              <w:right w:val="single" w:color="auto" w:sz="4" w:space="0"/>
            </w:tcBorders>
            <w:vAlign w:val="center"/>
          </w:tcPr>
          <w:p w14:paraId="72B9DE75">
            <w:pPr>
              <w:spacing w:line="300" w:lineRule="exact"/>
              <w:jc w:val="center"/>
              <w:rPr>
                <w:sz w:val="24"/>
              </w:rPr>
            </w:pPr>
          </w:p>
        </w:tc>
        <w:tc>
          <w:tcPr>
            <w:tcW w:w="1461" w:type="dxa"/>
            <w:tcBorders>
              <w:top w:val="single" w:color="auto" w:sz="6" w:space="0"/>
              <w:left w:val="single" w:color="auto" w:sz="4" w:space="0"/>
              <w:bottom w:val="single" w:color="auto" w:sz="4" w:space="0"/>
              <w:right w:val="single" w:color="auto" w:sz="6" w:space="0"/>
            </w:tcBorders>
            <w:vAlign w:val="center"/>
          </w:tcPr>
          <w:p w14:paraId="5F9828C9">
            <w:pPr>
              <w:spacing w:line="300" w:lineRule="exact"/>
              <w:jc w:val="center"/>
              <w:rPr>
                <w:sz w:val="24"/>
              </w:rPr>
            </w:pPr>
          </w:p>
        </w:tc>
        <w:tc>
          <w:tcPr>
            <w:tcW w:w="1105" w:type="dxa"/>
            <w:tcBorders>
              <w:top w:val="single" w:color="auto" w:sz="6" w:space="0"/>
              <w:left w:val="single" w:color="auto" w:sz="6" w:space="0"/>
              <w:bottom w:val="single" w:color="auto" w:sz="4" w:space="0"/>
              <w:right w:val="single" w:color="auto" w:sz="6" w:space="0"/>
            </w:tcBorders>
            <w:vAlign w:val="center"/>
          </w:tcPr>
          <w:p w14:paraId="6B619D2E">
            <w:pPr>
              <w:spacing w:line="300" w:lineRule="exact"/>
              <w:jc w:val="center"/>
              <w:rPr>
                <w:sz w:val="24"/>
              </w:rPr>
            </w:pPr>
          </w:p>
        </w:tc>
        <w:tc>
          <w:tcPr>
            <w:tcW w:w="716" w:type="dxa"/>
            <w:tcBorders>
              <w:top w:val="single" w:color="auto" w:sz="6" w:space="0"/>
              <w:left w:val="single" w:color="auto" w:sz="6" w:space="0"/>
              <w:bottom w:val="single" w:color="auto" w:sz="4" w:space="0"/>
              <w:right w:val="single" w:color="auto" w:sz="4" w:space="0"/>
            </w:tcBorders>
            <w:vAlign w:val="center"/>
          </w:tcPr>
          <w:p w14:paraId="1AD7D8B6">
            <w:pPr>
              <w:spacing w:line="300" w:lineRule="exact"/>
              <w:jc w:val="left"/>
              <w:rPr>
                <w:sz w:val="24"/>
              </w:rPr>
            </w:pPr>
          </w:p>
        </w:tc>
      </w:tr>
      <w:tr w14:paraId="6C6A7FAA">
        <w:tblPrEx>
          <w:tblBorders>
            <w:top w:val="double" w:color="auto" w:sz="6" w:space="0"/>
            <w:left w:val="double" w:color="auto" w:sz="6" w:space="0"/>
            <w:bottom w:val="double" w:color="auto" w:sz="6" w:space="0"/>
            <w:right w:val="double" w:color="auto" w:sz="6" w:space="0"/>
            <w:insideH w:val="none" w:color="auto" w:sz="0" w:space="0"/>
            <w:insideV w:val="none" w:color="auto" w:sz="0" w:space="0"/>
          </w:tblBorders>
          <w:tblCellMar>
            <w:top w:w="0" w:type="dxa"/>
            <w:left w:w="28" w:type="dxa"/>
            <w:bottom w:w="0" w:type="dxa"/>
            <w:right w:w="28" w:type="dxa"/>
          </w:tblCellMar>
        </w:tblPrEx>
        <w:trPr>
          <w:trHeight w:val="454" w:hRule="atLeast"/>
          <w:jc w:val="center"/>
        </w:trPr>
        <w:tc>
          <w:tcPr>
            <w:tcW w:w="894" w:type="dxa"/>
            <w:tcBorders>
              <w:top w:val="single" w:color="auto" w:sz="6" w:space="0"/>
              <w:left w:val="single" w:color="auto" w:sz="4" w:space="0"/>
              <w:bottom w:val="single" w:color="auto" w:sz="4" w:space="0"/>
              <w:right w:val="single" w:color="auto" w:sz="6" w:space="0"/>
            </w:tcBorders>
            <w:vAlign w:val="center"/>
          </w:tcPr>
          <w:p w14:paraId="7FC30C8A">
            <w:pPr>
              <w:spacing w:line="300" w:lineRule="exact"/>
              <w:jc w:val="center"/>
              <w:rPr>
                <w:sz w:val="24"/>
              </w:rPr>
            </w:pPr>
          </w:p>
        </w:tc>
        <w:tc>
          <w:tcPr>
            <w:tcW w:w="1130" w:type="dxa"/>
            <w:tcBorders>
              <w:top w:val="single" w:color="auto" w:sz="6" w:space="0"/>
              <w:left w:val="single" w:color="auto" w:sz="6" w:space="0"/>
              <w:bottom w:val="single" w:color="auto" w:sz="4" w:space="0"/>
              <w:right w:val="single" w:color="auto" w:sz="4" w:space="0"/>
            </w:tcBorders>
            <w:vAlign w:val="center"/>
          </w:tcPr>
          <w:p w14:paraId="78C507C9">
            <w:pPr>
              <w:spacing w:line="300" w:lineRule="exact"/>
              <w:jc w:val="center"/>
              <w:rPr>
                <w:sz w:val="24"/>
              </w:rPr>
            </w:pPr>
          </w:p>
        </w:tc>
        <w:tc>
          <w:tcPr>
            <w:tcW w:w="1386" w:type="dxa"/>
            <w:tcBorders>
              <w:top w:val="single" w:color="auto" w:sz="6" w:space="0"/>
              <w:left w:val="single" w:color="auto" w:sz="4" w:space="0"/>
              <w:bottom w:val="single" w:color="auto" w:sz="4" w:space="0"/>
              <w:right w:val="single" w:color="auto" w:sz="6" w:space="0"/>
            </w:tcBorders>
            <w:vAlign w:val="center"/>
          </w:tcPr>
          <w:p w14:paraId="39C89B63">
            <w:pPr>
              <w:spacing w:line="300" w:lineRule="exact"/>
              <w:jc w:val="center"/>
              <w:rPr>
                <w:sz w:val="24"/>
              </w:rPr>
            </w:pPr>
          </w:p>
        </w:tc>
        <w:tc>
          <w:tcPr>
            <w:tcW w:w="1420" w:type="dxa"/>
            <w:tcBorders>
              <w:top w:val="single" w:color="auto" w:sz="6" w:space="0"/>
              <w:left w:val="single" w:color="auto" w:sz="6" w:space="0"/>
              <w:bottom w:val="single" w:color="auto" w:sz="4" w:space="0"/>
              <w:right w:val="single" w:color="auto" w:sz="4" w:space="0"/>
            </w:tcBorders>
            <w:vAlign w:val="center"/>
          </w:tcPr>
          <w:p w14:paraId="5FFDF80F">
            <w:pPr>
              <w:spacing w:line="300" w:lineRule="exact"/>
              <w:jc w:val="center"/>
              <w:rPr>
                <w:sz w:val="24"/>
              </w:rPr>
            </w:pPr>
          </w:p>
        </w:tc>
        <w:tc>
          <w:tcPr>
            <w:tcW w:w="1461" w:type="dxa"/>
            <w:tcBorders>
              <w:top w:val="single" w:color="auto" w:sz="6" w:space="0"/>
              <w:left w:val="single" w:color="auto" w:sz="4" w:space="0"/>
              <w:bottom w:val="single" w:color="auto" w:sz="4" w:space="0"/>
              <w:right w:val="single" w:color="auto" w:sz="6" w:space="0"/>
            </w:tcBorders>
            <w:vAlign w:val="center"/>
          </w:tcPr>
          <w:p w14:paraId="2D224226">
            <w:pPr>
              <w:spacing w:line="300" w:lineRule="exact"/>
              <w:jc w:val="center"/>
              <w:rPr>
                <w:sz w:val="24"/>
              </w:rPr>
            </w:pPr>
          </w:p>
        </w:tc>
        <w:tc>
          <w:tcPr>
            <w:tcW w:w="1105" w:type="dxa"/>
            <w:tcBorders>
              <w:top w:val="single" w:color="auto" w:sz="6" w:space="0"/>
              <w:left w:val="single" w:color="auto" w:sz="6" w:space="0"/>
              <w:bottom w:val="single" w:color="auto" w:sz="4" w:space="0"/>
              <w:right w:val="single" w:color="auto" w:sz="6" w:space="0"/>
            </w:tcBorders>
            <w:vAlign w:val="center"/>
          </w:tcPr>
          <w:p w14:paraId="16507876">
            <w:pPr>
              <w:spacing w:line="300" w:lineRule="exact"/>
              <w:jc w:val="center"/>
              <w:rPr>
                <w:sz w:val="24"/>
              </w:rPr>
            </w:pPr>
          </w:p>
        </w:tc>
        <w:tc>
          <w:tcPr>
            <w:tcW w:w="716" w:type="dxa"/>
            <w:tcBorders>
              <w:top w:val="single" w:color="auto" w:sz="6" w:space="0"/>
              <w:left w:val="single" w:color="auto" w:sz="6" w:space="0"/>
              <w:bottom w:val="single" w:color="auto" w:sz="4" w:space="0"/>
              <w:right w:val="single" w:color="auto" w:sz="4" w:space="0"/>
            </w:tcBorders>
            <w:vAlign w:val="center"/>
          </w:tcPr>
          <w:p w14:paraId="2829F360">
            <w:pPr>
              <w:spacing w:line="300" w:lineRule="exact"/>
              <w:jc w:val="left"/>
              <w:rPr>
                <w:sz w:val="24"/>
              </w:rPr>
            </w:pPr>
          </w:p>
        </w:tc>
      </w:tr>
      <w:tr w14:paraId="4C30896E">
        <w:tblPrEx>
          <w:tblBorders>
            <w:top w:val="double" w:color="auto" w:sz="6" w:space="0"/>
            <w:left w:val="double" w:color="auto" w:sz="6" w:space="0"/>
            <w:bottom w:val="double" w:color="auto" w:sz="6" w:space="0"/>
            <w:right w:val="double" w:color="auto" w:sz="6" w:space="0"/>
            <w:insideH w:val="none" w:color="auto" w:sz="0" w:space="0"/>
            <w:insideV w:val="none" w:color="auto" w:sz="0" w:space="0"/>
          </w:tblBorders>
          <w:tblCellMar>
            <w:top w:w="0" w:type="dxa"/>
            <w:left w:w="28" w:type="dxa"/>
            <w:bottom w:w="0" w:type="dxa"/>
            <w:right w:w="28" w:type="dxa"/>
          </w:tblCellMar>
        </w:tblPrEx>
        <w:trPr>
          <w:trHeight w:val="454" w:hRule="atLeast"/>
          <w:jc w:val="center"/>
        </w:trPr>
        <w:tc>
          <w:tcPr>
            <w:tcW w:w="894" w:type="dxa"/>
            <w:tcBorders>
              <w:top w:val="single" w:color="auto" w:sz="6" w:space="0"/>
              <w:left w:val="single" w:color="auto" w:sz="4" w:space="0"/>
              <w:bottom w:val="single" w:color="auto" w:sz="4" w:space="0"/>
              <w:right w:val="single" w:color="auto" w:sz="6" w:space="0"/>
            </w:tcBorders>
            <w:vAlign w:val="center"/>
          </w:tcPr>
          <w:p w14:paraId="4CB09C23">
            <w:pPr>
              <w:spacing w:line="300" w:lineRule="exact"/>
              <w:jc w:val="center"/>
              <w:rPr>
                <w:sz w:val="24"/>
              </w:rPr>
            </w:pPr>
          </w:p>
        </w:tc>
        <w:tc>
          <w:tcPr>
            <w:tcW w:w="1130" w:type="dxa"/>
            <w:tcBorders>
              <w:top w:val="single" w:color="auto" w:sz="6" w:space="0"/>
              <w:left w:val="single" w:color="auto" w:sz="6" w:space="0"/>
              <w:bottom w:val="single" w:color="auto" w:sz="4" w:space="0"/>
              <w:right w:val="single" w:color="auto" w:sz="4" w:space="0"/>
            </w:tcBorders>
            <w:vAlign w:val="center"/>
          </w:tcPr>
          <w:p w14:paraId="2E62BC77">
            <w:pPr>
              <w:spacing w:line="300" w:lineRule="exact"/>
              <w:jc w:val="center"/>
              <w:rPr>
                <w:sz w:val="24"/>
              </w:rPr>
            </w:pPr>
          </w:p>
        </w:tc>
        <w:tc>
          <w:tcPr>
            <w:tcW w:w="1386" w:type="dxa"/>
            <w:tcBorders>
              <w:top w:val="single" w:color="auto" w:sz="6" w:space="0"/>
              <w:left w:val="single" w:color="auto" w:sz="4" w:space="0"/>
              <w:bottom w:val="single" w:color="auto" w:sz="4" w:space="0"/>
              <w:right w:val="single" w:color="auto" w:sz="6" w:space="0"/>
            </w:tcBorders>
            <w:vAlign w:val="center"/>
          </w:tcPr>
          <w:p w14:paraId="1CE4DB3A">
            <w:pPr>
              <w:spacing w:line="300" w:lineRule="exact"/>
              <w:jc w:val="center"/>
              <w:rPr>
                <w:sz w:val="24"/>
              </w:rPr>
            </w:pPr>
          </w:p>
        </w:tc>
        <w:tc>
          <w:tcPr>
            <w:tcW w:w="1420" w:type="dxa"/>
            <w:tcBorders>
              <w:top w:val="single" w:color="auto" w:sz="6" w:space="0"/>
              <w:left w:val="single" w:color="auto" w:sz="6" w:space="0"/>
              <w:bottom w:val="single" w:color="auto" w:sz="4" w:space="0"/>
              <w:right w:val="single" w:color="auto" w:sz="4" w:space="0"/>
            </w:tcBorders>
            <w:vAlign w:val="center"/>
          </w:tcPr>
          <w:p w14:paraId="12BB0A2D">
            <w:pPr>
              <w:spacing w:line="300" w:lineRule="exact"/>
              <w:jc w:val="center"/>
              <w:rPr>
                <w:sz w:val="24"/>
              </w:rPr>
            </w:pPr>
          </w:p>
        </w:tc>
        <w:tc>
          <w:tcPr>
            <w:tcW w:w="1461" w:type="dxa"/>
            <w:tcBorders>
              <w:top w:val="single" w:color="auto" w:sz="6" w:space="0"/>
              <w:left w:val="single" w:color="auto" w:sz="4" w:space="0"/>
              <w:bottom w:val="single" w:color="auto" w:sz="4" w:space="0"/>
              <w:right w:val="single" w:color="auto" w:sz="6" w:space="0"/>
            </w:tcBorders>
            <w:vAlign w:val="center"/>
          </w:tcPr>
          <w:p w14:paraId="2C822C7A">
            <w:pPr>
              <w:spacing w:line="300" w:lineRule="exact"/>
              <w:jc w:val="center"/>
              <w:rPr>
                <w:sz w:val="24"/>
              </w:rPr>
            </w:pPr>
          </w:p>
        </w:tc>
        <w:tc>
          <w:tcPr>
            <w:tcW w:w="1105" w:type="dxa"/>
            <w:tcBorders>
              <w:top w:val="single" w:color="auto" w:sz="6" w:space="0"/>
              <w:left w:val="single" w:color="auto" w:sz="6" w:space="0"/>
              <w:bottom w:val="single" w:color="auto" w:sz="4" w:space="0"/>
              <w:right w:val="single" w:color="auto" w:sz="6" w:space="0"/>
            </w:tcBorders>
            <w:vAlign w:val="center"/>
          </w:tcPr>
          <w:p w14:paraId="18F10CC7">
            <w:pPr>
              <w:spacing w:line="300" w:lineRule="exact"/>
              <w:jc w:val="center"/>
              <w:rPr>
                <w:sz w:val="24"/>
              </w:rPr>
            </w:pPr>
          </w:p>
        </w:tc>
        <w:tc>
          <w:tcPr>
            <w:tcW w:w="716" w:type="dxa"/>
            <w:tcBorders>
              <w:top w:val="single" w:color="auto" w:sz="6" w:space="0"/>
              <w:left w:val="single" w:color="auto" w:sz="6" w:space="0"/>
              <w:bottom w:val="single" w:color="auto" w:sz="4" w:space="0"/>
              <w:right w:val="single" w:color="auto" w:sz="4" w:space="0"/>
            </w:tcBorders>
            <w:vAlign w:val="center"/>
          </w:tcPr>
          <w:p w14:paraId="7283FA91">
            <w:pPr>
              <w:spacing w:line="300" w:lineRule="exact"/>
              <w:jc w:val="left"/>
              <w:rPr>
                <w:sz w:val="24"/>
              </w:rPr>
            </w:pPr>
          </w:p>
        </w:tc>
      </w:tr>
    </w:tbl>
    <w:p w14:paraId="4C605DA5">
      <w:pPr>
        <w:spacing w:line="360" w:lineRule="auto"/>
        <w:rPr>
          <w:rFonts w:ascii="宋体" w:hAnsi="宋体"/>
          <w:color w:val="000000"/>
          <w:sz w:val="22"/>
        </w:rPr>
      </w:pPr>
    </w:p>
    <w:p w14:paraId="27226A53">
      <w:pPr>
        <w:spacing w:line="360" w:lineRule="auto"/>
        <w:rPr>
          <w:rFonts w:ascii="宋体" w:hAnsi="宋体" w:eastAsia="宋体"/>
          <w:sz w:val="24"/>
          <w:szCs w:val="24"/>
        </w:rPr>
      </w:pPr>
    </w:p>
    <w:sectPr>
      <w:footerReference r:id="rId3" w:type="default"/>
      <w:pgSz w:w="11906" w:h="16838"/>
      <w:pgMar w:top="1440" w:right="1800" w:bottom="1440" w:left="1800" w:header="851" w:footer="992" w:gutter="0"/>
      <w:cols w:space="425" w:num="1"/>
      <w:titlePg/>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等线">
    <w:panose1 w:val="02010600030101010101"/>
    <w:charset w:val="86"/>
    <w:family w:val="auto"/>
    <w:pitch w:val="default"/>
    <w:sig w:usb0="A00002BF" w:usb1="38CF7CFA" w:usb2="00000016" w:usb3="00000000" w:csb0="0004000F" w:csb1="00000000"/>
  </w:font>
  <w:font w:name="等线 Light">
    <w:panose1 w:val="02010600030101010101"/>
    <w:charset w:val="86"/>
    <w:family w:val="auto"/>
    <w:pitch w:val="default"/>
    <w:sig w:usb0="A00002BF" w:usb1="38CF7CFA" w:usb2="00000016" w:usb3="00000000" w:csb0="0004000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989528565"/>
    </w:sdtPr>
    <w:sdtContent>
      <w:p w14:paraId="697C3030">
        <w:pPr>
          <w:pStyle w:val="6"/>
          <w:jc w:val="center"/>
        </w:pPr>
        <w:r>
          <w:rPr>
            <w:sz w:val="21"/>
          </w:rPr>
          <w:fldChar w:fldCharType="begin"/>
        </w:r>
        <w:r>
          <w:rPr>
            <w:sz w:val="21"/>
          </w:rPr>
          <w:instrText xml:space="preserve">PAGE   \* MERGEFORMAT</w:instrText>
        </w:r>
        <w:r>
          <w:rPr>
            <w:sz w:val="21"/>
          </w:rPr>
          <w:fldChar w:fldCharType="separate"/>
        </w:r>
        <w:r>
          <w:rPr>
            <w:sz w:val="21"/>
            <w:lang w:val="zh-CN"/>
          </w:rPr>
          <w:t>11</w:t>
        </w:r>
        <w:r>
          <w:rPr>
            <w:sz w:val="21"/>
          </w:rPr>
          <w:fldChar w:fldCharType="end"/>
        </w:r>
      </w:p>
    </w:sdtContent>
  </w:sdt>
  <w:p w14:paraId="5C5193ED">
    <w:pPr>
      <w:pStyle w:val="6"/>
    </w:pP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02CC6ADA"/>
    <w:multiLevelType w:val="multilevel"/>
    <w:tmpl w:val="02CC6ADA"/>
    <w:lvl w:ilvl="0" w:tentative="0">
      <w:start w:val="1"/>
      <w:numFmt w:val="decimal"/>
      <w:lvlText w:val="%1)"/>
      <w:lvlJc w:val="left"/>
      <w:pPr>
        <w:ind w:left="420" w:hanging="420"/>
      </w:pPr>
      <w:rPr>
        <w:rFonts w:hint="eastAsia"/>
      </w:rPr>
    </w:lvl>
    <w:lvl w:ilvl="1" w:tentative="0">
      <w:start w:val="1"/>
      <w:numFmt w:val="lowerLetter"/>
      <w:lvlText w:val="%2)"/>
      <w:lvlJc w:val="left"/>
      <w:pPr>
        <w:ind w:left="1320" w:hanging="420"/>
      </w:pPr>
    </w:lvl>
    <w:lvl w:ilvl="2" w:tentative="0">
      <w:start w:val="1"/>
      <w:numFmt w:val="lowerRoman"/>
      <w:lvlText w:val="%3."/>
      <w:lvlJc w:val="right"/>
      <w:pPr>
        <w:ind w:left="1740" w:hanging="420"/>
      </w:pPr>
    </w:lvl>
    <w:lvl w:ilvl="3" w:tentative="0">
      <w:start w:val="1"/>
      <w:numFmt w:val="decimal"/>
      <w:lvlText w:val="%4."/>
      <w:lvlJc w:val="left"/>
      <w:pPr>
        <w:ind w:left="2160" w:hanging="420"/>
      </w:pPr>
    </w:lvl>
    <w:lvl w:ilvl="4" w:tentative="0">
      <w:start w:val="1"/>
      <w:numFmt w:val="lowerLetter"/>
      <w:lvlText w:val="%5)"/>
      <w:lvlJc w:val="left"/>
      <w:pPr>
        <w:ind w:left="2580" w:hanging="420"/>
      </w:pPr>
    </w:lvl>
    <w:lvl w:ilvl="5" w:tentative="0">
      <w:start w:val="1"/>
      <w:numFmt w:val="lowerRoman"/>
      <w:lvlText w:val="%6."/>
      <w:lvlJc w:val="right"/>
      <w:pPr>
        <w:ind w:left="3000" w:hanging="420"/>
      </w:pPr>
    </w:lvl>
    <w:lvl w:ilvl="6" w:tentative="0">
      <w:start w:val="1"/>
      <w:numFmt w:val="decimal"/>
      <w:lvlText w:val="%7."/>
      <w:lvlJc w:val="left"/>
      <w:pPr>
        <w:ind w:left="3420" w:hanging="420"/>
      </w:pPr>
    </w:lvl>
    <w:lvl w:ilvl="7" w:tentative="0">
      <w:start w:val="1"/>
      <w:numFmt w:val="lowerLetter"/>
      <w:lvlText w:val="%8)"/>
      <w:lvlJc w:val="left"/>
      <w:pPr>
        <w:ind w:left="3840" w:hanging="420"/>
      </w:pPr>
    </w:lvl>
    <w:lvl w:ilvl="8" w:tentative="0">
      <w:start w:val="1"/>
      <w:numFmt w:val="lowerRoman"/>
      <w:lvlText w:val="%9."/>
      <w:lvlJc w:val="right"/>
      <w:pPr>
        <w:ind w:left="4260" w:hanging="420"/>
      </w:pPr>
    </w:lvl>
  </w:abstractNum>
  <w:abstractNum w:abstractNumId="1">
    <w:nsid w:val="046D6B05"/>
    <w:multiLevelType w:val="multilevel"/>
    <w:tmpl w:val="046D6B05"/>
    <w:lvl w:ilvl="0" w:tentative="0">
      <w:start w:val="1"/>
      <w:numFmt w:val="decimal"/>
      <w:suff w:val="space"/>
      <w:lvlText w:val="(%1)"/>
      <w:lvlJc w:val="left"/>
      <w:pPr>
        <w:ind w:left="420" w:hanging="420"/>
      </w:pPr>
      <w:rPr>
        <w:rFonts w:hint="eastAsia"/>
      </w:rPr>
    </w:lvl>
    <w:lvl w:ilvl="1" w:tentative="0">
      <w:start w:val="1"/>
      <w:numFmt w:val="lowerLetter"/>
      <w:lvlText w:val="%2)"/>
      <w:lvlJc w:val="left"/>
      <w:pPr>
        <w:ind w:left="1320" w:hanging="420"/>
      </w:pPr>
    </w:lvl>
    <w:lvl w:ilvl="2" w:tentative="0">
      <w:start w:val="1"/>
      <w:numFmt w:val="lowerRoman"/>
      <w:lvlText w:val="%3."/>
      <w:lvlJc w:val="right"/>
      <w:pPr>
        <w:ind w:left="1740" w:hanging="420"/>
      </w:pPr>
    </w:lvl>
    <w:lvl w:ilvl="3" w:tentative="0">
      <w:start w:val="1"/>
      <w:numFmt w:val="decimal"/>
      <w:lvlText w:val="%4."/>
      <w:lvlJc w:val="left"/>
      <w:pPr>
        <w:ind w:left="2160" w:hanging="420"/>
      </w:pPr>
    </w:lvl>
    <w:lvl w:ilvl="4" w:tentative="0">
      <w:start w:val="1"/>
      <w:numFmt w:val="lowerLetter"/>
      <w:lvlText w:val="%5)"/>
      <w:lvlJc w:val="left"/>
      <w:pPr>
        <w:ind w:left="2580" w:hanging="420"/>
      </w:pPr>
    </w:lvl>
    <w:lvl w:ilvl="5" w:tentative="0">
      <w:start w:val="1"/>
      <w:numFmt w:val="lowerRoman"/>
      <w:lvlText w:val="%6."/>
      <w:lvlJc w:val="right"/>
      <w:pPr>
        <w:ind w:left="3000" w:hanging="420"/>
      </w:pPr>
    </w:lvl>
    <w:lvl w:ilvl="6" w:tentative="0">
      <w:start w:val="1"/>
      <w:numFmt w:val="decimal"/>
      <w:lvlText w:val="%7."/>
      <w:lvlJc w:val="left"/>
      <w:pPr>
        <w:ind w:left="3420" w:hanging="420"/>
      </w:pPr>
    </w:lvl>
    <w:lvl w:ilvl="7" w:tentative="0">
      <w:start w:val="1"/>
      <w:numFmt w:val="lowerLetter"/>
      <w:lvlText w:val="%8)"/>
      <w:lvlJc w:val="left"/>
      <w:pPr>
        <w:ind w:left="3840" w:hanging="420"/>
      </w:pPr>
    </w:lvl>
    <w:lvl w:ilvl="8" w:tentative="0">
      <w:start w:val="1"/>
      <w:numFmt w:val="lowerRoman"/>
      <w:lvlText w:val="%9."/>
      <w:lvlJc w:val="right"/>
      <w:pPr>
        <w:ind w:left="4260" w:hanging="420"/>
      </w:pPr>
    </w:lvl>
  </w:abstractNum>
  <w:abstractNum w:abstractNumId="2">
    <w:nsid w:val="07C077B3"/>
    <w:multiLevelType w:val="multilevel"/>
    <w:tmpl w:val="07C077B3"/>
    <w:lvl w:ilvl="0" w:tentative="0">
      <w:start w:val="1"/>
      <w:numFmt w:val="decimal"/>
      <w:suff w:val="space"/>
      <w:lvlText w:val="(%1)"/>
      <w:lvlJc w:val="left"/>
      <w:pPr>
        <w:ind w:left="420" w:hanging="420"/>
      </w:pPr>
      <w:rPr>
        <w:rFonts w:hint="eastAsia"/>
      </w:rPr>
    </w:lvl>
    <w:lvl w:ilvl="1" w:tentative="0">
      <w:start w:val="1"/>
      <w:numFmt w:val="lowerLetter"/>
      <w:lvlText w:val="%2)"/>
      <w:lvlJc w:val="left"/>
      <w:pPr>
        <w:ind w:left="1320" w:hanging="420"/>
      </w:pPr>
    </w:lvl>
    <w:lvl w:ilvl="2" w:tentative="0">
      <w:start w:val="1"/>
      <w:numFmt w:val="lowerRoman"/>
      <w:lvlText w:val="%3."/>
      <w:lvlJc w:val="right"/>
      <w:pPr>
        <w:ind w:left="1740" w:hanging="420"/>
      </w:pPr>
    </w:lvl>
    <w:lvl w:ilvl="3" w:tentative="0">
      <w:start w:val="1"/>
      <w:numFmt w:val="decimal"/>
      <w:lvlText w:val="%4."/>
      <w:lvlJc w:val="left"/>
      <w:pPr>
        <w:ind w:left="2160" w:hanging="420"/>
      </w:pPr>
    </w:lvl>
    <w:lvl w:ilvl="4" w:tentative="0">
      <w:start w:val="1"/>
      <w:numFmt w:val="lowerLetter"/>
      <w:lvlText w:val="%5)"/>
      <w:lvlJc w:val="left"/>
      <w:pPr>
        <w:ind w:left="2580" w:hanging="420"/>
      </w:pPr>
    </w:lvl>
    <w:lvl w:ilvl="5" w:tentative="0">
      <w:start w:val="1"/>
      <w:numFmt w:val="lowerRoman"/>
      <w:lvlText w:val="%6."/>
      <w:lvlJc w:val="right"/>
      <w:pPr>
        <w:ind w:left="3000" w:hanging="420"/>
      </w:pPr>
    </w:lvl>
    <w:lvl w:ilvl="6" w:tentative="0">
      <w:start w:val="1"/>
      <w:numFmt w:val="decimal"/>
      <w:lvlText w:val="%7."/>
      <w:lvlJc w:val="left"/>
      <w:pPr>
        <w:ind w:left="3420" w:hanging="420"/>
      </w:pPr>
    </w:lvl>
    <w:lvl w:ilvl="7" w:tentative="0">
      <w:start w:val="1"/>
      <w:numFmt w:val="lowerLetter"/>
      <w:lvlText w:val="%8)"/>
      <w:lvlJc w:val="left"/>
      <w:pPr>
        <w:ind w:left="3840" w:hanging="420"/>
      </w:pPr>
    </w:lvl>
    <w:lvl w:ilvl="8" w:tentative="0">
      <w:start w:val="1"/>
      <w:numFmt w:val="lowerRoman"/>
      <w:lvlText w:val="%9."/>
      <w:lvlJc w:val="right"/>
      <w:pPr>
        <w:ind w:left="4260" w:hanging="420"/>
      </w:pPr>
    </w:lvl>
  </w:abstractNum>
  <w:abstractNum w:abstractNumId="3">
    <w:nsid w:val="0D3F4C14"/>
    <w:multiLevelType w:val="multilevel"/>
    <w:tmpl w:val="0D3F4C14"/>
    <w:lvl w:ilvl="0" w:tentative="0">
      <w:start w:val="1"/>
      <w:numFmt w:val="decimal"/>
      <w:suff w:val="space"/>
      <w:lvlText w:val="(%1)"/>
      <w:lvlJc w:val="left"/>
      <w:pPr>
        <w:ind w:left="420" w:hanging="420"/>
      </w:pPr>
      <w:rPr>
        <w:rFonts w:hint="eastAsia"/>
      </w:rPr>
    </w:lvl>
    <w:lvl w:ilvl="1" w:tentative="0">
      <w:start w:val="1"/>
      <w:numFmt w:val="lowerLetter"/>
      <w:lvlText w:val="%2)"/>
      <w:lvlJc w:val="left"/>
      <w:pPr>
        <w:ind w:left="1320" w:hanging="420"/>
      </w:pPr>
    </w:lvl>
    <w:lvl w:ilvl="2" w:tentative="0">
      <w:start w:val="1"/>
      <w:numFmt w:val="lowerRoman"/>
      <w:lvlText w:val="%3."/>
      <w:lvlJc w:val="right"/>
      <w:pPr>
        <w:ind w:left="1740" w:hanging="420"/>
      </w:pPr>
    </w:lvl>
    <w:lvl w:ilvl="3" w:tentative="0">
      <w:start w:val="1"/>
      <w:numFmt w:val="decimal"/>
      <w:lvlText w:val="%4."/>
      <w:lvlJc w:val="left"/>
      <w:pPr>
        <w:ind w:left="2160" w:hanging="420"/>
      </w:pPr>
    </w:lvl>
    <w:lvl w:ilvl="4" w:tentative="0">
      <w:start w:val="1"/>
      <w:numFmt w:val="lowerLetter"/>
      <w:lvlText w:val="%5)"/>
      <w:lvlJc w:val="left"/>
      <w:pPr>
        <w:ind w:left="2580" w:hanging="420"/>
      </w:pPr>
    </w:lvl>
    <w:lvl w:ilvl="5" w:tentative="0">
      <w:start w:val="1"/>
      <w:numFmt w:val="lowerRoman"/>
      <w:lvlText w:val="%6."/>
      <w:lvlJc w:val="right"/>
      <w:pPr>
        <w:ind w:left="3000" w:hanging="420"/>
      </w:pPr>
    </w:lvl>
    <w:lvl w:ilvl="6" w:tentative="0">
      <w:start w:val="1"/>
      <w:numFmt w:val="decimal"/>
      <w:lvlText w:val="%7."/>
      <w:lvlJc w:val="left"/>
      <w:pPr>
        <w:ind w:left="3420" w:hanging="420"/>
      </w:pPr>
    </w:lvl>
    <w:lvl w:ilvl="7" w:tentative="0">
      <w:start w:val="1"/>
      <w:numFmt w:val="lowerLetter"/>
      <w:lvlText w:val="%8)"/>
      <w:lvlJc w:val="left"/>
      <w:pPr>
        <w:ind w:left="3840" w:hanging="420"/>
      </w:pPr>
    </w:lvl>
    <w:lvl w:ilvl="8" w:tentative="0">
      <w:start w:val="1"/>
      <w:numFmt w:val="lowerRoman"/>
      <w:lvlText w:val="%9."/>
      <w:lvlJc w:val="right"/>
      <w:pPr>
        <w:ind w:left="4260" w:hanging="420"/>
      </w:pPr>
    </w:lvl>
  </w:abstractNum>
  <w:abstractNum w:abstractNumId="4">
    <w:nsid w:val="19772150"/>
    <w:multiLevelType w:val="multilevel"/>
    <w:tmpl w:val="19772150"/>
    <w:lvl w:ilvl="0" w:tentative="0">
      <w:start w:val="1"/>
      <w:numFmt w:val="decimal"/>
      <w:suff w:val="space"/>
      <w:lvlText w:val="(%1)"/>
      <w:lvlJc w:val="left"/>
      <w:pPr>
        <w:ind w:left="420" w:hanging="420"/>
      </w:pPr>
      <w:rPr>
        <w:rFonts w:hint="eastAsia"/>
      </w:rPr>
    </w:lvl>
    <w:lvl w:ilvl="1" w:tentative="0">
      <w:start w:val="1"/>
      <w:numFmt w:val="lowerLetter"/>
      <w:lvlText w:val="%2)"/>
      <w:lvlJc w:val="left"/>
      <w:pPr>
        <w:ind w:left="1320" w:hanging="420"/>
      </w:pPr>
    </w:lvl>
    <w:lvl w:ilvl="2" w:tentative="0">
      <w:start w:val="1"/>
      <w:numFmt w:val="lowerRoman"/>
      <w:lvlText w:val="%3."/>
      <w:lvlJc w:val="right"/>
      <w:pPr>
        <w:ind w:left="1740" w:hanging="420"/>
      </w:pPr>
    </w:lvl>
    <w:lvl w:ilvl="3" w:tentative="0">
      <w:start w:val="1"/>
      <w:numFmt w:val="decimal"/>
      <w:lvlText w:val="%4."/>
      <w:lvlJc w:val="left"/>
      <w:pPr>
        <w:ind w:left="2160" w:hanging="420"/>
      </w:pPr>
    </w:lvl>
    <w:lvl w:ilvl="4" w:tentative="0">
      <w:start w:val="1"/>
      <w:numFmt w:val="lowerLetter"/>
      <w:lvlText w:val="%5)"/>
      <w:lvlJc w:val="left"/>
      <w:pPr>
        <w:ind w:left="2580" w:hanging="420"/>
      </w:pPr>
    </w:lvl>
    <w:lvl w:ilvl="5" w:tentative="0">
      <w:start w:val="1"/>
      <w:numFmt w:val="lowerRoman"/>
      <w:lvlText w:val="%6."/>
      <w:lvlJc w:val="right"/>
      <w:pPr>
        <w:ind w:left="3000" w:hanging="420"/>
      </w:pPr>
    </w:lvl>
    <w:lvl w:ilvl="6" w:tentative="0">
      <w:start w:val="1"/>
      <w:numFmt w:val="decimal"/>
      <w:lvlText w:val="%7."/>
      <w:lvlJc w:val="left"/>
      <w:pPr>
        <w:ind w:left="3420" w:hanging="420"/>
      </w:pPr>
    </w:lvl>
    <w:lvl w:ilvl="7" w:tentative="0">
      <w:start w:val="1"/>
      <w:numFmt w:val="lowerLetter"/>
      <w:lvlText w:val="%8)"/>
      <w:lvlJc w:val="left"/>
      <w:pPr>
        <w:ind w:left="3840" w:hanging="420"/>
      </w:pPr>
    </w:lvl>
    <w:lvl w:ilvl="8" w:tentative="0">
      <w:start w:val="1"/>
      <w:numFmt w:val="lowerRoman"/>
      <w:lvlText w:val="%9."/>
      <w:lvlJc w:val="right"/>
      <w:pPr>
        <w:ind w:left="4260" w:hanging="420"/>
      </w:pPr>
    </w:lvl>
  </w:abstractNum>
  <w:abstractNum w:abstractNumId="5">
    <w:nsid w:val="1A1F41F8"/>
    <w:multiLevelType w:val="multilevel"/>
    <w:tmpl w:val="1A1F41F8"/>
    <w:lvl w:ilvl="0" w:tentative="0">
      <w:start w:val="1"/>
      <w:numFmt w:val="decimal"/>
      <w:suff w:val="space"/>
      <w:lvlText w:val="(%1)"/>
      <w:lvlJc w:val="left"/>
      <w:pPr>
        <w:ind w:left="420" w:hanging="420"/>
      </w:pPr>
      <w:rPr>
        <w:rFonts w:hint="eastAsia"/>
      </w:rPr>
    </w:lvl>
    <w:lvl w:ilvl="1" w:tentative="0">
      <w:start w:val="1"/>
      <w:numFmt w:val="lowerLetter"/>
      <w:lvlText w:val="%2)"/>
      <w:lvlJc w:val="left"/>
      <w:pPr>
        <w:ind w:left="1320" w:hanging="420"/>
      </w:pPr>
    </w:lvl>
    <w:lvl w:ilvl="2" w:tentative="0">
      <w:start w:val="1"/>
      <w:numFmt w:val="lowerRoman"/>
      <w:lvlText w:val="%3."/>
      <w:lvlJc w:val="right"/>
      <w:pPr>
        <w:ind w:left="1740" w:hanging="420"/>
      </w:pPr>
    </w:lvl>
    <w:lvl w:ilvl="3" w:tentative="0">
      <w:start w:val="1"/>
      <w:numFmt w:val="decimal"/>
      <w:lvlText w:val="%4."/>
      <w:lvlJc w:val="left"/>
      <w:pPr>
        <w:ind w:left="2160" w:hanging="420"/>
      </w:pPr>
    </w:lvl>
    <w:lvl w:ilvl="4" w:tentative="0">
      <w:start w:val="1"/>
      <w:numFmt w:val="lowerLetter"/>
      <w:lvlText w:val="%5)"/>
      <w:lvlJc w:val="left"/>
      <w:pPr>
        <w:ind w:left="2580" w:hanging="420"/>
      </w:pPr>
    </w:lvl>
    <w:lvl w:ilvl="5" w:tentative="0">
      <w:start w:val="1"/>
      <w:numFmt w:val="lowerRoman"/>
      <w:lvlText w:val="%6."/>
      <w:lvlJc w:val="right"/>
      <w:pPr>
        <w:ind w:left="3000" w:hanging="420"/>
      </w:pPr>
    </w:lvl>
    <w:lvl w:ilvl="6" w:tentative="0">
      <w:start w:val="1"/>
      <w:numFmt w:val="decimal"/>
      <w:lvlText w:val="%7."/>
      <w:lvlJc w:val="left"/>
      <w:pPr>
        <w:ind w:left="3420" w:hanging="420"/>
      </w:pPr>
    </w:lvl>
    <w:lvl w:ilvl="7" w:tentative="0">
      <w:start w:val="1"/>
      <w:numFmt w:val="lowerLetter"/>
      <w:lvlText w:val="%8)"/>
      <w:lvlJc w:val="left"/>
      <w:pPr>
        <w:ind w:left="3840" w:hanging="420"/>
      </w:pPr>
    </w:lvl>
    <w:lvl w:ilvl="8" w:tentative="0">
      <w:start w:val="1"/>
      <w:numFmt w:val="lowerRoman"/>
      <w:lvlText w:val="%9."/>
      <w:lvlJc w:val="right"/>
      <w:pPr>
        <w:ind w:left="4260" w:hanging="420"/>
      </w:pPr>
    </w:lvl>
  </w:abstractNum>
  <w:abstractNum w:abstractNumId="6">
    <w:nsid w:val="1D200C29"/>
    <w:multiLevelType w:val="multilevel"/>
    <w:tmpl w:val="1D200C29"/>
    <w:lvl w:ilvl="0" w:tentative="0">
      <w:start w:val="1"/>
      <w:numFmt w:val="lowerLetter"/>
      <w:suff w:val="space"/>
      <w:lvlText w:val="%1)"/>
      <w:lvlJc w:val="left"/>
      <w:pPr>
        <w:ind w:left="900" w:hanging="420"/>
      </w:pPr>
      <w:rPr>
        <w:rFonts w:hint="eastAsia"/>
      </w:rPr>
    </w:lvl>
    <w:lvl w:ilvl="1" w:tentative="0">
      <w:start w:val="1"/>
      <w:numFmt w:val="lowerLetter"/>
      <w:lvlText w:val="%2)"/>
      <w:lvlJc w:val="left"/>
      <w:pPr>
        <w:ind w:left="1320" w:hanging="420"/>
      </w:pPr>
    </w:lvl>
    <w:lvl w:ilvl="2" w:tentative="0">
      <w:start w:val="1"/>
      <w:numFmt w:val="lowerRoman"/>
      <w:lvlText w:val="%3."/>
      <w:lvlJc w:val="right"/>
      <w:pPr>
        <w:ind w:left="1740" w:hanging="420"/>
      </w:pPr>
    </w:lvl>
    <w:lvl w:ilvl="3" w:tentative="0">
      <w:start w:val="1"/>
      <w:numFmt w:val="decimal"/>
      <w:lvlText w:val="%4."/>
      <w:lvlJc w:val="left"/>
      <w:pPr>
        <w:ind w:left="2160" w:hanging="420"/>
      </w:pPr>
    </w:lvl>
    <w:lvl w:ilvl="4" w:tentative="0">
      <w:start w:val="1"/>
      <w:numFmt w:val="lowerLetter"/>
      <w:lvlText w:val="%5)"/>
      <w:lvlJc w:val="left"/>
      <w:pPr>
        <w:ind w:left="2580" w:hanging="420"/>
      </w:pPr>
    </w:lvl>
    <w:lvl w:ilvl="5" w:tentative="0">
      <w:start w:val="1"/>
      <w:numFmt w:val="lowerRoman"/>
      <w:lvlText w:val="%6."/>
      <w:lvlJc w:val="right"/>
      <w:pPr>
        <w:ind w:left="3000" w:hanging="420"/>
      </w:pPr>
    </w:lvl>
    <w:lvl w:ilvl="6" w:tentative="0">
      <w:start w:val="1"/>
      <w:numFmt w:val="decimal"/>
      <w:lvlText w:val="%7."/>
      <w:lvlJc w:val="left"/>
      <w:pPr>
        <w:ind w:left="3420" w:hanging="420"/>
      </w:pPr>
    </w:lvl>
    <w:lvl w:ilvl="7" w:tentative="0">
      <w:start w:val="1"/>
      <w:numFmt w:val="lowerLetter"/>
      <w:lvlText w:val="%8)"/>
      <w:lvlJc w:val="left"/>
      <w:pPr>
        <w:ind w:left="3840" w:hanging="420"/>
      </w:pPr>
    </w:lvl>
    <w:lvl w:ilvl="8" w:tentative="0">
      <w:start w:val="1"/>
      <w:numFmt w:val="lowerRoman"/>
      <w:lvlText w:val="%9."/>
      <w:lvlJc w:val="right"/>
      <w:pPr>
        <w:ind w:left="4260" w:hanging="420"/>
      </w:pPr>
    </w:lvl>
  </w:abstractNum>
  <w:abstractNum w:abstractNumId="7">
    <w:nsid w:val="248F2D7B"/>
    <w:multiLevelType w:val="multilevel"/>
    <w:tmpl w:val="248F2D7B"/>
    <w:lvl w:ilvl="0" w:tentative="0">
      <w:start w:val="1"/>
      <w:numFmt w:val="decimal"/>
      <w:suff w:val="space"/>
      <w:lvlText w:val="%1"/>
      <w:lvlJc w:val="left"/>
      <w:pPr>
        <w:ind w:left="0" w:firstLine="0"/>
      </w:pPr>
      <w:rPr>
        <w:rFonts w:hint="eastAsia"/>
      </w:rPr>
    </w:lvl>
    <w:lvl w:ilvl="1" w:tentative="0">
      <w:start w:val="1"/>
      <w:numFmt w:val="decimal"/>
      <w:suff w:val="space"/>
      <w:lvlText w:val="7.%2"/>
      <w:lvlJc w:val="left"/>
      <w:pPr>
        <w:ind w:left="0" w:firstLine="0"/>
      </w:pPr>
      <w:rPr>
        <w:rFonts w:hint="eastAsia"/>
      </w:rPr>
    </w:lvl>
    <w:lvl w:ilvl="2" w:tentative="0">
      <w:start w:val="1"/>
      <w:numFmt w:val="decimal"/>
      <w:suff w:val="space"/>
      <w:lvlText w:val="%1.%2.%3"/>
      <w:lvlJc w:val="left"/>
      <w:pPr>
        <w:ind w:left="0" w:firstLine="0"/>
      </w:pPr>
      <w:rPr>
        <w:rFonts w:hint="eastAsia"/>
      </w:rPr>
    </w:lvl>
    <w:lvl w:ilvl="3" w:tentative="0">
      <w:start w:val="1"/>
      <w:numFmt w:val="decimal"/>
      <w:suff w:val="space"/>
      <w:lvlText w:val="%1.%2.%3.%4"/>
      <w:lvlJc w:val="left"/>
      <w:pPr>
        <w:ind w:left="0" w:firstLine="0"/>
      </w:pPr>
      <w:rPr>
        <w:rFonts w:hint="eastAsia"/>
      </w:rPr>
    </w:lvl>
    <w:lvl w:ilvl="4" w:tentative="0">
      <w:start w:val="1"/>
      <w:numFmt w:val="decimal"/>
      <w:suff w:val="space"/>
      <w:lvlText w:val="%1.%2.%3.%4.%5"/>
      <w:lvlJc w:val="left"/>
      <w:pPr>
        <w:ind w:left="0" w:firstLine="0"/>
      </w:pPr>
      <w:rPr>
        <w:rFonts w:hint="eastAsia"/>
      </w:rPr>
    </w:lvl>
    <w:lvl w:ilvl="5" w:tentative="0">
      <w:start w:val="1"/>
      <w:numFmt w:val="decimal"/>
      <w:suff w:val="space"/>
      <w:lvlText w:val="%1.%2.%3.%4.%5.%6"/>
      <w:lvlJc w:val="left"/>
      <w:pPr>
        <w:ind w:left="0" w:firstLine="0"/>
      </w:pPr>
      <w:rPr>
        <w:rFonts w:hint="eastAsia"/>
      </w:rPr>
    </w:lvl>
    <w:lvl w:ilvl="6" w:tentative="0">
      <w:start w:val="1"/>
      <w:numFmt w:val="decimal"/>
      <w:suff w:val="space"/>
      <w:lvlText w:val="%1.%2.%3.%4.%5.%6.%7"/>
      <w:lvlJc w:val="left"/>
      <w:pPr>
        <w:ind w:left="0" w:firstLine="0"/>
      </w:pPr>
      <w:rPr>
        <w:rFonts w:hint="eastAsia"/>
      </w:rPr>
    </w:lvl>
    <w:lvl w:ilvl="7" w:tentative="0">
      <w:start w:val="1"/>
      <w:numFmt w:val="decimal"/>
      <w:suff w:val="space"/>
      <w:lvlText w:val="%1.%2.%3.%4.%5.%6.%7.%8"/>
      <w:lvlJc w:val="left"/>
      <w:pPr>
        <w:ind w:left="0" w:firstLine="0"/>
      </w:pPr>
      <w:rPr>
        <w:rFonts w:hint="eastAsia"/>
      </w:rPr>
    </w:lvl>
    <w:lvl w:ilvl="8" w:tentative="0">
      <w:start w:val="1"/>
      <w:numFmt w:val="decimal"/>
      <w:suff w:val="space"/>
      <w:lvlText w:val="%1.%2.%3.%4.%5.%6.%7.%8.%9"/>
      <w:lvlJc w:val="left"/>
      <w:pPr>
        <w:ind w:left="0" w:firstLine="0"/>
      </w:pPr>
      <w:rPr>
        <w:rFonts w:hint="eastAsia"/>
      </w:rPr>
    </w:lvl>
  </w:abstractNum>
  <w:abstractNum w:abstractNumId="8">
    <w:nsid w:val="29170927"/>
    <w:multiLevelType w:val="multilevel"/>
    <w:tmpl w:val="29170927"/>
    <w:lvl w:ilvl="0" w:tentative="0">
      <w:start w:val="1"/>
      <w:numFmt w:val="decimal"/>
      <w:suff w:val="space"/>
      <w:lvlText w:val="%1."/>
      <w:lvlJc w:val="left"/>
      <w:pPr>
        <w:ind w:left="0" w:firstLine="0"/>
      </w:pPr>
      <w:rPr>
        <w:rFonts w:hint="default" w:ascii="Times New Roman" w:hAnsi="Times New Roman" w:cs="Times New Roman"/>
        <w:b w:val="0"/>
        <w:bCs/>
        <w:sz w:val="28"/>
        <w:szCs w:val="28"/>
      </w:rPr>
    </w:lvl>
    <w:lvl w:ilvl="1" w:tentative="0">
      <w:start w:val="1"/>
      <w:numFmt w:val="decimal"/>
      <w:suff w:val="space"/>
      <w:lvlText w:val="%1.%2"/>
      <w:lvlJc w:val="left"/>
      <w:pPr>
        <w:ind w:left="0" w:firstLine="0"/>
      </w:pPr>
      <w:rPr>
        <w:rFonts w:hint="default" w:ascii="Times New Roman" w:hAnsi="Times New Roman" w:cs="Times New Roman"/>
        <w:b/>
        <w:sz w:val="24"/>
        <w:szCs w:val="24"/>
      </w:rPr>
    </w:lvl>
    <w:lvl w:ilvl="2" w:tentative="0">
      <w:start w:val="1"/>
      <w:numFmt w:val="decimal"/>
      <w:suff w:val="space"/>
      <w:lvlText w:val="%1.%2.%3"/>
      <w:lvlJc w:val="left"/>
      <w:pPr>
        <w:ind w:left="0" w:firstLine="0"/>
      </w:pPr>
      <w:rPr>
        <w:rFonts w:hint="default" w:ascii="Times New Roman" w:hAnsi="Times New Roman" w:cs="Times New Roman"/>
        <w:b w:val="0"/>
      </w:rPr>
    </w:lvl>
    <w:lvl w:ilvl="3" w:tentative="0">
      <w:start w:val="1"/>
      <w:numFmt w:val="decimal"/>
      <w:suff w:val="space"/>
      <w:lvlText w:val="%1.%2.%3.%4"/>
      <w:lvlJc w:val="left"/>
      <w:pPr>
        <w:ind w:left="0" w:firstLine="0"/>
      </w:pPr>
      <w:rPr>
        <w:rFonts w:hint="default" w:ascii="Times New Roman" w:hAnsi="Times New Roman" w:cs="Times New Roman"/>
      </w:rPr>
    </w:lvl>
    <w:lvl w:ilvl="4" w:tentative="0">
      <w:start w:val="1"/>
      <w:numFmt w:val="decimal"/>
      <w:lvlText w:val="%1.%2.%3.%4.%5."/>
      <w:lvlJc w:val="left"/>
      <w:pPr>
        <w:ind w:left="0" w:firstLine="0"/>
      </w:pPr>
      <w:rPr>
        <w:rFonts w:hint="eastAsia"/>
      </w:rPr>
    </w:lvl>
    <w:lvl w:ilvl="5" w:tentative="0">
      <w:start w:val="1"/>
      <w:numFmt w:val="decimal"/>
      <w:lvlText w:val="%1.%2.%3.%4.%5.%6."/>
      <w:lvlJc w:val="left"/>
      <w:pPr>
        <w:ind w:left="1134" w:hanging="1134"/>
      </w:pPr>
      <w:rPr>
        <w:rFonts w:hint="eastAsia"/>
      </w:rPr>
    </w:lvl>
    <w:lvl w:ilvl="6" w:tentative="0">
      <w:start w:val="1"/>
      <w:numFmt w:val="decimal"/>
      <w:lvlText w:val="%1.%2.%3.%4.%5.%6.%7."/>
      <w:lvlJc w:val="left"/>
      <w:pPr>
        <w:ind w:left="1276" w:hanging="1276"/>
      </w:pPr>
      <w:rPr>
        <w:rFonts w:hint="eastAsia"/>
      </w:rPr>
    </w:lvl>
    <w:lvl w:ilvl="7" w:tentative="0">
      <w:start w:val="1"/>
      <w:numFmt w:val="decimal"/>
      <w:lvlText w:val="%1.%2.%3.%4.%5.%6.%7.%8."/>
      <w:lvlJc w:val="left"/>
      <w:pPr>
        <w:ind w:left="1418" w:hanging="1418"/>
      </w:pPr>
      <w:rPr>
        <w:rFonts w:hint="eastAsia"/>
      </w:rPr>
    </w:lvl>
    <w:lvl w:ilvl="8" w:tentative="0">
      <w:start w:val="1"/>
      <w:numFmt w:val="decimal"/>
      <w:pStyle w:val="25"/>
      <w:lvlText w:val="%1.%2.%3.%4.%5.%6.%7.%8.%9."/>
      <w:lvlJc w:val="left"/>
      <w:pPr>
        <w:ind w:left="1559" w:hanging="1559"/>
      </w:pPr>
      <w:rPr>
        <w:rFonts w:hint="eastAsia"/>
      </w:rPr>
    </w:lvl>
  </w:abstractNum>
  <w:abstractNum w:abstractNumId="9">
    <w:nsid w:val="4A3A5AF4"/>
    <w:multiLevelType w:val="multilevel"/>
    <w:tmpl w:val="4A3A5AF4"/>
    <w:lvl w:ilvl="0" w:tentative="0">
      <w:start w:val="1"/>
      <w:numFmt w:val="decimal"/>
      <w:suff w:val="space"/>
      <w:lvlText w:val="(%1)"/>
      <w:lvlJc w:val="left"/>
      <w:pPr>
        <w:ind w:left="420" w:hanging="420"/>
      </w:pPr>
      <w:rPr>
        <w:rFonts w:hint="eastAsia"/>
      </w:rPr>
    </w:lvl>
    <w:lvl w:ilvl="1" w:tentative="0">
      <w:start w:val="1"/>
      <w:numFmt w:val="lowerLetter"/>
      <w:lvlText w:val="%2)"/>
      <w:lvlJc w:val="left"/>
      <w:pPr>
        <w:ind w:left="1320" w:hanging="420"/>
      </w:pPr>
    </w:lvl>
    <w:lvl w:ilvl="2" w:tentative="0">
      <w:start w:val="1"/>
      <w:numFmt w:val="lowerRoman"/>
      <w:lvlText w:val="%3."/>
      <w:lvlJc w:val="right"/>
      <w:pPr>
        <w:ind w:left="1740" w:hanging="420"/>
      </w:pPr>
    </w:lvl>
    <w:lvl w:ilvl="3" w:tentative="0">
      <w:start w:val="1"/>
      <w:numFmt w:val="decimal"/>
      <w:lvlText w:val="%4."/>
      <w:lvlJc w:val="left"/>
      <w:pPr>
        <w:ind w:left="2160" w:hanging="420"/>
      </w:pPr>
    </w:lvl>
    <w:lvl w:ilvl="4" w:tentative="0">
      <w:start w:val="1"/>
      <w:numFmt w:val="lowerLetter"/>
      <w:lvlText w:val="%5)"/>
      <w:lvlJc w:val="left"/>
      <w:pPr>
        <w:ind w:left="2580" w:hanging="420"/>
      </w:pPr>
    </w:lvl>
    <w:lvl w:ilvl="5" w:tentative="0">
      <w:start w:val="1"/>
      <w:numFmt w:val="lowerRoman"/>
      <w:lvlText w:val="%6."/>
      <w:lvlJc w:val="right"/>
      <w:pPr>
        <w:ind w:left="3000" w:hanging="420"/>
      </w:pPr>
    </w:lvl>
    <w:lvl w:ilvl="6" w:tentative="0">
      <w:start w:val="1"/>
      <w:numFmt w:val="decimal"/>
      <w:lvlText w:val="%7."/>
      <w:lvlJc w:val="left"/>
      <w:pPr>
        <w:ind w:left="3420" w:hanging="420"/>
      </w:pPr>
    </w:lvl>
    <w:lvl w:ilvl="7" w:tentative="0">
      <w:start w:val="1"/>
      <w:numFmt w:val="lowerLetter"/>
      <w:lvlText w:val="%8)"/>
      <w:lvlJc w:val="left"/>
      <w:pPr>
        <w:ind w:left="3840" w:hanging="420"/>
      </w:pPr>
    </w:lvl>
    <w:lvl w:ilvl="8" w:tentative="0">
      <w:start w:val="1"/>
      <w:numFmt w:val="lowerRoman"/>
      <w:lvlText w:val="%9."/>
      <w:lvlJc w:val="right"/>
      <w:pPr>
        <w:ind w:left="4260" w:hanging="420"/>
      </w:pPr>
    </w:lvl>
  </w:abstractNum>
  <w:abstractNum w:abstractNumId="10">
    <w:nsid w:val="54EE673F"/>
    <w:multiLevelType w:val="multilevel"/>
    <w:tmpl w:val="54EE673F"/>
    <w:lvl w:ilvl="0" w:tentative="0">
      <w:start w:val="1"/>
      <w:numFmt w:val="chineseCountingThousand"/>
      <w:suff w:val="space"/>
      <w:lvlText w:val="%1、"/>
      <w:lvlJc w:val="left"/>
      <w:pPr>
        <w:ind w:left="420" w:hanging="420"/>
      </w:pPr>
      <w:rPr>
        <w:rFonts w:hint="eastAsia"/>
      </w:rPr>
    </w:lvl>
    <w:lvl w:ilvl="1" w:tentative="0">
      <w:start w:val="1"/>
      <w:numFmt w:val="lowerLetter"/>
      <w:pStyle w:val="3"/>
      <w:lvlText w:val="%2)"/>
      <w:lvlJc w:val="left"/>
      <w:pPr>
        <w:ind w:left="840" w:hanging="420"/>
      </w:pPr>
      <w:rPr>
        <w:rFonts w:hint="eastAsia"/>
      </w:rPr>
    </w:lvl>
    <w:lvl w:ilvl="2" w:tentative="0">
      <w:start w:val="1"/>
      <w:numFmt w:val="lowerRoman"/>
      <w:lvlText w:val="%3."/>
      <w:lvlJc w:val="right"/>
      <w:pPr>
        <w:ind w:left="1260" w:hanging="420"/>
      </w:pPr>
      <w:rPr>
        <w:rFonts w:hint="eastAsia"/>
      </w:rPr>
    </w:lvl>
    <w:lvl w:ilvl="3" w:tentative="0">
      <w:start w:val="1"/>
      <w:numFmt w:val="decimal"/>
      <w:lvlText w:val="%4."/>
      <w:lvlJc w:val="left"/>
      <w:pPr>
        <w:ind w:left="1680" w:hanging="420"/>
      </w:pPr>
      <w:rPr>
        <w:rFonts w:hint="eastAsia"/>
      </w:rPr>
    </w:lvl>
    <w:lvl w:ilvl="4" w:tentative="0">
      <w:start w:val="1"/>
      <w:numFmt w:val="lowerLetter"/>
      <w:lvlText w:val="%5)"/>
      <w:lvlJc w:val="left"/>
      <w:pPr>
        <w:ind w:left="2100" w:hanging="420"/>
      </w:pPr>
      <w:rPr>
        <w:rFonts w:hint="eastAsia"/>
      </w:rPr>
    </w:lvl>
    <w:lvl w:ilvl="5" w:tentative="0">
      <w:start w:val="1"/>
      <w:numFmt w:val="lowerRoman"/>
      <w:lvlText w:val="%6."/>
      <w:lvlJc w:val="right"/>
      <w:pPr>
        <w:ind w:left="2520" w:hanging="420"/>
      </w:pPr>
      <w:rPr>
        <w:rFonts w:hint="eastAsia"/>
      </w:rPr>
    </w:lvl>
    <w:lvl w:ilvl="6" w:tentative="0">
      <w:start w:val="1"/>
      <w:numFmt w:val="decimal"/>
      <w:lvlText w:val="%7."/>
      <w:lvlJc w:val="left"/>
      <w:pPr>
        <w:ind w:left="2940" w:hanging="420"/>
      </w:pPr>
      <w:rPr>
        <w:rFonts w:hint="eastAsia"/>
      </w:rPr>
    </w:lvl>
    <w:lvl w:ilvl="7" w:tentative="0">
      <w:start w:val="1"/>
      <w:numFmt w:val="lowerLetter"/>
      <w:lvlText w:val="%8)"/>
      <w:lvlJc w:val="left"/>
      <w:pPr>
        <w:ind w:left="3360" w:hanging="420"/>
      </w:pPr>
      <w:rPr>
        <w:rFonts w:hint="eastAsia"/>
      </w:rPr>
    </w:lvl>
    <w:lvl w:ilvl="8" w:tentative="0">
      <w:start w:val="1"/>
      <w:numFmt w:val="lowerRoman"/>
      <w:lvlText w:val="%9."/>
      <w:lvlJc w:val="right"/>
      <w:pPr>
        <w:ind w:left="3780" w:hanging="420"/>
      </w:pPr>
      <w:rPr>
        <w:rFonts w:hint="eastAsia"/>
      </w:rPr>
    </w:lvl>
  </w:abstractNum>
  <w:abstractNum w:abstractNumId="11">
    <w:nsid w:val="57147476"/>
    <w:multiLevelType w:val="multilevel"/>
    <w:tmpl w:val="57147476"/>
    <w:lvl w:ilvl="0" w:tentative="0">
      <w:start w:val="1"/>
      <w:numFmt w:val="decimal"/>
      <w:suff w:val="space"/>
      <w:lvlText w:val="(%1)"/>
      <w:lvlJc w:val="left"/>
      <w:pPr>
        <w:ind w:left="420" w:hanging="420"/>
      </w:pPr>
      <w:rPr>
        <w:rFonts w:hint="eastAsia"/>
      </w:rPr>
    </w:lvl>
    <w:lvl w:ilvl="1" w:tentative="0">
      <w:start w:val="1"/>
      <w:numFmt w:val="lowerLetter"/>
      <w:lvlText w:val="%2)"/>
      <w:lvlJc w:val="left"/>
      <w:pPr>
        <w:ind w:left="1320" w:hanging="420"/>
      </w:pPr>
    </w:lvl>
    <w:lvl w:ilvl="2" w:tentative="0">
      <w:start w:val="1"/>
      <w:numFmt w:val="lowerRoman"/>
      <w:lvlText w:val="%3."/>
      <w:lvlJc w:val="right"/>
      <w:pPr>
        <w:ind w:left="1740" w:hanging="420"/>
      </w:pPr>
    </w:lvl>
    <w:lvl w:ilvl="3" w:tentative="0">
      <w:start w:val="1"/>
      <w:numFmt w:val="decimal"/>
      <w:lvlText w:val="%4."/>
      <w:lvlJc w:val="left"/>
      <w:pPr>
        <w:ind w:left="2160" w:hanging="420"/>
      </w:pPr>
    </w:lvl>
    <w:lvl w:ilvl="4" w:tentative="0">
      <w:start w:val="1"/>
      <w:numFmt w:val="lowerLetter"/>
      <w:lvlText w:val="%5)"/>
      <w:lvlJc w:val="left"/>
      <w:pPr>
        <w:ind w:left="2580" w:hanging="420"/>
      </w:pPr>
    </w:lvl>
    <w:lvl w:ilvl="5" w:tentative="0">
      <w:start w:val="1"/>
      <w:numFmt w:val="lowerRoman"/>
      <w:lvlText w:val="%6."/>
      <w:lvlJc w:val="right"/>
      <w:pPr>
        <w:ind w:left="3000" w:hanging="420"/>
      </w:pPr>
    </w:lvl>
    <w:lvl w:ilvl="6" w:tentative="0">
      <w:start w:val="1"/>
      <w:numFmt w:val="decimal"/>
      <w:lvlText w:val="%7."/>
      <w:lvlJc w:val="left"/>
      <w:pPr>
        <w:ind w:left="3420" w:hanging="420"/>
      </w:pPr>
    </w:lvl>
    <w:lvl w:ilvl="7" w:tentative="0">
      <w:start w:val="1"/>
      <w:numFmt w:val="lowerLetter"/>
      <w:lvlText w:val="%8)"/>
      <w:lvlJc w:val="left"/>
      <w:pPr>
        <w:ind w:left="3840" w:hanging="420"/>
      </w:pPr>
    </w:lvl>
    <w:lvl w:ilvl="8" w:tentative="0">
      <w:start w:val="1"/>
      <w:numFmt w:val="lowerRoman"/>
      <w:lvlText w:val="%9."/>
      <w:lvlJc w:val="right"/>
      <w:pPr>
        <w:ind w:left="4260" w:hanging="420"/>
      </w:pPr>
    </w:lvl>
  </w:abstractNum>
  <w:abstractNum w:abstractNumId="12">
    <w:nsid w:val="59F00AC1"/>
    <w:multiLevelType w:val="multilevel"/>
    <w:tmpl w:val="59F00AC1"/>
    <w:lvl w:ilvl="0" w:tentative="0">
      <w:start w:val="1"/>
      <w:numFmt w:val="decimal"/>
      <w:pStyle w:val="2"/>
      <w:lvlText w:val="%1"/>
      <w:lvlJc w:val="left"/>
      <w:pPr>
        <w:tabs>
          <w:tab w:val="left" w:pos="432"/>
        </w:tabs>
        <w:ind w:left="432" w:hanging="432"/>
      </w:pPr>
      <w:rPr>
        <w:rFonts w:hint="eastAsia"/>
      </w:rPr>
    </w:lvl>
    <w:lvl w:ilvl="1" w:tentative="0">
      <w:start w:val="1"/>
      <w:numFmt w:val="decimal"/>
      <w:lvlText w:val="6.%2"/>
      <w:lvlJc w:val="left"/>
      <w:pPr>
        <w:tabs>
          <w:tab w:val="left" w:pos="576"/>
        </w:tabs>
        <w:ind w:left="57" w:hanging="57"/>
      </w:pPr>
      <w:rPr>
        <w:rFonts w:hint="eastAsia"/>
      </w:rPr>
    </w:lvl>
    <w:lvl w:ilvl="2" w:tentative="0">
      <w:start w:val="1"/>
      <w:numFmt w:val="decimal"/>
      <w:lvlText w:val="%1.%2.%3"/>
      <w:lvlJc w:val="left"/>
      <w:pPr>
        <w:tabs>
          <w:tab w:val="left" w:pos="720"/>
        </w:tabs>
        <w:ind w:left="720" w:hanging="720"/>
      </w:pPr>
      <w:rPr>
        <w:rFonts w:hint="eastAsia"/>
      </w:rPr>
    </w:lvl>
    <w:lvl w:ilvl="3" w:tentative="0">
      <w:start w:val="1"/>
      <w:numFmt w:val="decimal"/>
      <w:lvlText w:val="%1.%2.%3.%4"/>
      <w:lvlJc w:val="left"/>
      <w:pPr>
        <w:tabs>
          <w:tab w:val="left" w:pos="864"/>
        </w:tabs>
        <w:ind w:left="864" w:hanging="864"/>
      </w:pPr>
      <w:rPr>
        <w:rFonts w:hint="eastAsia"/>
      </w:rPr>
    </w:lvl>
    <w:lvl w:ilvl="4" w:tentative="0">
      <w:start w:val="1"/>
      <w:numFmt w:val="decimal"/>
      <w:lvlText w:val="%1.%2.%3.%4.%5"/>
      <w:lvlJc w:val="left"/>
      <w:pPr>
        <w:tabs>
          <w:tab w:val="left" w:pos="1008"/>
        </w:tabs>
        <w:ind w:left="1008" w:hanging="1008"/>
      </w:pPr>
      <w:rPr>
        <w:rFonts w:hint="eastAsia"/>
      </w:rPr>
    </w:lvl>
    <w:lvl w:ilvl="5" w:tentative="0">
      <w:start w:val="1"/>
      <w:numFmt w:val="decimal"/>
      <w:lvlText w:val="%1.%2.%3.%4.%5.%6"/>
      <w:lvlJc w:val="left"/>
      <w:pPr>
        <w:tabs>
          <w:tab w:val="left" w:pos="1388"/>
        </w:tabs>
        <w:ind w:left="1388" w:hanging="1152"/>
      </w:pPr>
      <w:rPr>
        <w:rFonts w:hint="eastAsia"/>
      </w:rPr>
    </w:lvl>
    <w:lvl w:ilvl="6" w:tentative="0">
      <w:start w:val="1"/>
      <w:numFmt w:val="decimal"/>
      <w:lvlText w:val="%1.%2.%3.%4.%5.%6.%7"/>
      <w:lvlJc w:val="left"/>
      <w:pPr>
        <w:tabs>
          <w:tab w:val="left" w:pos="1296"/>
        </w:tabs>
        <w:ind w:left="1296" w:hanging="1296"/>
      </w:pPr>
      <w:rPr>
        <w:rFonts w:hint="eastAsia"/>
      </w:rPr>
    </w:lvl>
    <w:lvl w:ilvl="7" w:tentative="0">
      <w:start w:val="1"/>
      <w:numFmt w:val="decimal"/>
      <w:lvlText w:val="%1.%2.%3.%4.%5.%6.%7.%8"/>
      <w:lvlJc w:val="left"/>
      <w:pPr>
        <w:tabs>
          <w:tab w:val="left" w:pos="1440"/>
        </w:tabs>
        <w:ind w:left="1440" w:hanging="1440"/>
      </w:pPr>
      <w:rPr>
        <w:rFonts w:hint="eastAsia"/>
      </w:rPr>
    </w:lvl>
    <w:lvl w:ilvl="8" w:tentative="0">
      <w:start w:val="1"/>
      <w:numFmt w:val="decimal"/>
      <w:lvlText w:val="%1.%2.%3.%4.%5.%6.%7.%8.%9"/>
      <w:lvlJc w:val="left"/>
      <w:pPr>
        <w:tabs>
          <w:tab w:val="left" w:pos="1584"/>
        </w:tabs>
        <w:ind w:left="1584" w:hanging="1584"/>
      </w:pPr>
      <w:rPr>
        <w:rFonts w:hint="eastAsia"/>
      </w:rPr>
    </w:lvl>
  </w:abstractNum>
  <w:abstractNum w:abstractNumId="13">
    <w:nsid w:val="5BCB467E"/>
    <w:multiLevelType w:val="multilevel"/>
    <w:tmpl w:val="5BCB467E"/>
    <w:lvl w:ilvl="0" w:tentative="0">
      <w:start w:val="1"/>
      <w:numFmt w:val="decimal"/>
      <w:suff w:val="space"/>
      <w:lvlText w:val="(%1)"/>
      <w:lvlJc w:val="left"/>
      <w:pPr>
        <w:ind w:left="420" w:hanging="420"/>
      </w:pPr>
      <w:rPr>
        <w:rFonts w:hint="eastAsia"/>
      </w:rPr>
    </w:lvl>
    <w:lvl w:ilvl="1" w:tentative="0">
      <w:start w:val="1"/>
      <w:numFmt w:val="lowerLetter"/>
      <w:lvlText w:val="%2)"/>
      <w:lvlJc w:val="left"/>
      <w:pPr>
        <w:ind w:left="1320" w:hanging="420"/>
      </w:pPr>
    </w:lvl>
    <w:lvl w:ilvl="2" w:tentative="0">
      <w:start w:val="1"/>
      <w:numFmt w:val="lowerRoman"/>
      <w:lvlText w:val="%3."/>
      <w:lvlJc w:val="right"/>
      <w:pPr>
        <w:ind w:left="1740" w:hanging="420"/>
      </w:pPr>
    </w:lvl>
    <w:lvl w:ilvl="3" w:tentative="0">
      <w:start w:val="1"/>
      <w:numFmt w:val="decimal"/>
      <w:lvlText w:val="%4."/>
      <w:lvlJc w:val="left"/>
      <w:pPr>
        <w:ind w:left="2160" w:hanging="420"/>
      </w:pPr>
    </w:lvl>
    <w:lvl w:ilvl="4" w:tentative="0">
      <w:start w:val="1"/>
      <w:numFmt w:val="lowerLetter"/>
      <w:lvlText w:val="%5)"/>
      <w:lvlJc w:val="left"/>
      <w:pPr>
        <w:ind w:left="2580" w:hanging="420"/>
      </w:pPr>
    </w:lvl>
    <w:lvl w:ilvl="5" w:tentative="0">
      <w:start w:val="1"/>
      <w:numFmt w:val="lowerRoman"/>
      <w:lvlText w:val="%6."/>
      <w:lvlJc w:val="right"/>
      <w:pPr>
        <w:ind w:left="3000" w:hanging="420"/>
      </w:pPr>
    </w:lvl>
    <w:lvl w:ilvl="6" w:tentative="0">
      <w:start w:val="1"/>
      <w:numFmt w:val="decimal"/>
      <w:lvlText w:val="%7."/>
      <w:lvlJc w:val="left"/>
      <w:pPr>
        <w:ind w:left="3420" w:hanging="420"/>
      </w:pPr>
    </w:lvl>
    <w:lvl w:ilvl="7" w:tentative="0">
      <w:start w:val="1"/>
      <w:numFmt w:val="lowerLetter"/>
      <w:lvlText w:val="%8)"/>
      <w:lvlJc w:val="left"/>
      <w:pPr>
        <w:ind w:left="3840" w:hanging="420"/>
      </w:pPr>
    </w:lvl>
    <w:lvl w:ilvl="8" w:tentative="0">
      <w:start w:val="1"/>
      <w:numFmt w:val="lowerRoman"/>
      <w:lvlText w:val="%9."/>
      <w:lvlJc w:val="right"/>
      <w:pPr>
        <w:ind w:left="4260" w:hanging="420"/>
      </w:pPr>
    </w:lvl>
  </w:abstractNum>
  <w:abstractNum w:abstractNumId="14">
    <w:nsid w:val="60C652A3"/>
    <w:multiLevelType w:val="multilevel"/>
    <w:tmpl w:val="60C652A3"/>
    <w:lvl w:ilvl="0" w:tentative="0">
      <w:start w:val="1"/>
      <w:numFmt w:val="decimal"/>
      <w:suff w:val="space"/>
      <w:lvlText w:val="(%1)"/>
      <w:lvlJc w:val="left"/>
      <w:pPr>
        <w:ind w:left="420" w:hanging="420"/>
      </w:pPr>
      <w:rPr>
        <w:rFonts w:hint="eastAsia"/>
      </w:rPr>
    </w:lvl>
    <w:lvl w:ilvl="1" w:tentative="0">
      <w:start w:val="1"/>
      <w:numFmt w:val="lowerLetter"/>
      <w:lvlText w:val="%2)"/>
      <w:lvlJc w:val="left"/>
      <w:pPr>
        <w:ind w:left="1320" w:hanging="420"/>
      </w:pPr>
    </w:lvl>
    <w:lvl w:ilvl="2" w:tentative="0">
      <w:start w:val="1"/>
      <w:numFmt w:val="lowerRoman"/>
      <w:lvlText w:val="%3."/>
      <w:lvlJc w:val="right"/>
      <w:pPr>
        <w:ind w:left="1740" w:hanging="420"/>
      </w:pPr>
    </w:lvl>
    <w:lvl w:ilvl="3" w:tentative="0">
      <w:start w:val="1"/>
      <w:numFmt w:val="decimal"/>
      <w:lvlText w:val="%4."/>
      <w:lvlJc w:val="left"/>
      <w:pPr>
        <w:ind w:left="2160" w:hanging="420"/>
      </w:pPr>
    </w:lvl>
    <w:lvl w:ilvl="4" w:tentative="0">
      <w:start w:val="1"/>
      <w:numFmt w:val="lowerLetter"/>
      <w:lvlText w:val="%5)"/>
      <w:lvlJc w:val="left"/>
      <w:pPr>
        <w:ind w:left="2580" w:hanging="420"/>
      </w:pPr>
    </w:lvl>
    <w:lvl w:ilvl="5" w:tentative="0">
      <w:start w:val="1"/>
      <w:numFmt w:val="lowerRoman"/>
      <w:lvlText w:val="%6."/>
      <w:lvlJc w:val="right"/>
      <w:pPr>
        <w:ind w:left="3000" w:hanging="420"/>
      </w:pPr>
    </w:lvl>
    <w:lvl w:ilvl="6" w:tentative="0">
      <w:start w:val="1"/>
      <w:numFmt w:val="decimal"/>
      <w:lvlText w:val="%7."/>
      <w:lvlJc w:val="left"/>
      <w:pPr>
        <w:ind w:left="3420" w:hanging="420"/>
      </w:pPr>
    </w:lvl>
    <w:lvl w:ilvl="7" w:tentative="0">
      <w:start w:val="1"/>
      <w:numFmt w:val="lowerLetter"/>
      <w:lvlText w:val="%8)"/>
      <w:lvlJc w:val="left"/>
      <w:pPr>
        <w:ind w:left="3840" w:hanging="420"/>
      </w:pPr>
    </w:lvl>
    <w:lvl w:ilvl="8" w:tentative="0">
      <w:start w:val="1"/>
      <w:numFmt w:val="lowerRoman"/>
      <w:lvlText w:val="%9."/>
      <w:lvlJc w:val="right"/>
      <w:pPr>
        <w:ind w:left="4260" w:hanging="420"/>
      </w:pPr>
    </w:lvl>
  </w:abstractNum>
  <w:abstractNum w:abstractNumId="15">
    <w:nsid w:val="6154284E"/>
    <w:multiLevelType w:val="multilevel"/>
    <w:tmpl w:val="6154284E"/>
    <w:lvl w:ilvl="0" w:tentative="0">
      <w:start w:val="1"/>
      <w:numFmt w:val="decimal"/>
      <w:suff w:val="space"/>
      <w:lvlText w:val="(%1)"/>
      <w:lvlJc w:val="left"/>
      <w:pPr>
        <w:ind w:left="420" w:hanging="420"/>
      </w:pPr>
      <w:rPr>
        <w:rFonts w:hint="eastAsia"/>
      </w:rPr>
    </w:lvl>
    <w:lvl w:ilvl="1" w:tentative="0">
      <w:start w:val="1"/>
      <w:numFmt w:val="lowerLetter"/>
      <w:lvlText w:val="%2)"/>
      <w:lvlJc w:val="left"/>
      <w:pPr>
        <w:ind w:left="1320" w:hanging="420"/>
      </w:pPr>
    </w:lvl>
    <w:lvl w:ilvl="2" w:tentative="0">
      <w:start w:val="1"/>
      <w:numFmt w:val="lowerRoman"/>
      <w:lvlText w:val="%3."/>
      <w:lvlJc w:val="right"/>
      <w:pPr>
        <w:ind w:left="1740" w:hanging="420"/>
      </w:pPr>
    </w:lvl>
    <w:lvl w:ilvl="3" w:tentative="0">
      <w:start w:val="1"/>
      <w:numFmt w:val="decimal"/>
      <w:lvlText w:val="%4."/>
      <w:lvlJc w:val="left"/>
      <w:pPr>
        <w:ind w:left="2160" w:hanging="420"/>
      </w:pPr>
    </w:lvl>
    <w:lvl w:ilvl="4" w:tentative="0">
      <w:start w:val="1"/>
      <w:numFmt w:val="lowerLetter"/>
      <w:lvlText w:val="%5)"/>
      <w:lvlJc w:val="left"/>
      <w:pPr>
        <w:ind w:left="2580" w:hanging="420"/>
      </w:pPr>
    </w:lvl>
    <w:lvl w:ilvl="5" w:tentative="0">
      <w:start w:val="1"/>
      <w:numFmt w:val="lowerRoman"/>
      <w:lvlText w:val="%6."/>
      <w:lvlJc w:val="right"/>
      <w:pPr>
        <w:ind w:left="3000" w:hanging="420"/>
      </w:pPr>
    </w:lvl>
    <w:lvl w:ilvl="6" w:tentative="0">
      <w:start w:val="1"/>
      <w:numFmt w:val="decimal"/>
      <w:lvlText w:val="%7."/>
      <w:lvlJc w:val="left"/>
      <w:pPr>
        <w:ind w:left="3420" w:hanging="420"/>
      </w:pPr>
    </w:lvl>
    <w:lvl w:ilvl="7" w:tentative="0">
      <w:start w:val="1"/>
      <w:numFmt w:val="lowerLetter"/>
      <w:lvlText w:val="%8)"/>
      <w:lvlJc w:val="left"/>
      <w:pPr>
        <w:ind w:left="3840" w:hanging="420"/>
      </w:pPr>
    </w:lvl>
    <w:lvl w:ilvl="8" w:tentative="0">
      <w:start w:val="1"/>
      <w:numFmt w:val="lowerRoman"/>
      <w:lvlText w:val="%9."/>
      <w:lvlJc w:val="right"/>
      <w:pPr>
        <w:ind w:left="4260" w:hanging="420"/>
      </w:pPr>
    </w:lvl>
  </w:abstractNum>
  <w:abstractNum w:abstractNumId="16">
    <w:nsid w:val="69D86328"/>
    <w:multiLevelType w:val="multilevel"/>
    <w:tmpl w:val="69D86328"/>
    <w:lvl w:ilvl="0" w:tentative="0">
      <w:start w:val="1"/>
      <w:numFmt w:val="decimal"/>
      <w:suff w:val="space"/>
      <w:lvlText w:val="%1"/>
      <w:lvlJc w:val="left"/>
      <w:pPr>
        <w:ind w:left="0" w:firstLine="0"/>
      </w:pPr>
      <w:rPr>
        <w:rFonts w:hint="eastAsia"/>
      </w:rPr>
    </w:lvl>
    <w:lvl w:ilvl="1" w:tentative="0">
      <w:start w:val="1"/>
      <w:numFmt w:val="decimal"/>
      <w:suff w:val="space"/>
      <w:lvlText w:val="2.%2"/>
      <w:lvlJc w:val="left"/>
      <w:pPr>
        <w:ind w:left="0" w:firstLine="0"/>
      </w:pPr>
      <w:rPr>
        <w:rFonts w:hint="eastAsia"/>
      </w:rPr>
    </w:lvl>
    <w:lvl w:ilvl="2" w:tentative="0">
      <w:start w:val="1"/>
      <w:numFmt w:val="decimal"/>
      <w:suff w:val="space"/>
      <w:lvlText w:val="%1.%2.%3"/>
      <w:lvlJc w:val="left"/>
      <w:pPr>
        <w:ind w:left="0" w:firstLine="0"/>
      </w:pPr>
      <w:rPr>
        <w:rFonts w:hint="eastAsia"/>
      </w:rPr>
    </w:lvl>
    <w:lvl w:ilvl="3" w:tentative="0">
      <w:start w:val="1"/>
      <w:numFmt w:val="decimal"/>
      <w:suff w:val="space"/>
      <w:lvlText w:val="%1.%2.%3.%4"/>
      <w:lvlJc w:val="left"/>
      <w:pPr>
        <w:ind w:left="0" w:firstLine="0"/>
      </w:pPr>
      <w:rPr>
        <w:rFonts w:hint="eastAsia"/>
      </w:rPr>
    </w:lvl>
    <w:lvl w:ilvl="4" w:tentative="0">
      <w:start w:val="1"/>
      <w:numFmt w:val="decimal"/>
      <w:suff w:val="space"/>
      <w:lvlText w:val="%1.%2.%3.%4.%5"/>
      <w:lvlJc w:val="left"/>
      <w:pPr>
        <w:ind w:left="0" w:firstLine="0"/>
      </w:pPr>
      <w:rPr>
        <w:rFonts w:hint="eastAsia"/>
      </w:rPr>
    </w:lvl>
    <w:lvl w:ilvl="5" w:tentative="0">
      <w:start w:val="1"/>
      <w:numFmt w:val="decimal"/>
      <w:suff w:val="space"/>
      <w:lvlText w:val="%1.%2.%3.%4.%5.%6"/>
      <w:lvlJc w:val="left"/>
      <w:pPr>
        <w:ind w:left="0" w:firstLine="0"/>
      </w:pPr>
      <w:rPr>
        <w:rFonts w:hint="eastAsia"/>
      </w:rPr>
    </w:lvl>
    <w:lvl w:ilvl="6" w:tentative="0">
      <w:start w:val="1"/>
      <w:numFmt w:val="decimal"/>
      <w:suff w:val="space"/>
      <w:lvlText w:val="%1.%2.%3.%4.%5.%6.%7"/>
      <w:lvlJc w:val="left"/>
      <w:pPr>
        <w:ind w:left="0" w:firstLine="0"/>
      </w:pPr>
      <w:rPr>
        <w:rFonts w:hint="eastAsia"/>
      </w:rPr>
    </w:lvl>
    <w:lvl w:ilvl="7" w:tentative="0">
      <w:start w:val="1"/>
      <w:numFmt w:val="decimal"/>
      <w:suff w:val="space"/>
      <w:lvlText w:val="%1.%2.%3.%4.%5.%6.%7.%8"/>
      <w:lvlJc w:val="left"/>
      <w:pPr>
        <w:ind w:left="0" w:firstLine="0"/>
      </w:pPr>
      <w:rPr>
        <w:rFonts w:hint="eastAsia"/>
      </w:rPr>
    </w:lvl>
    <w:lvl w:ilvl="8" w:tentative="0">
      <w:start w:val="1"/>
      <w:numFmt w:val="decimal"/>
      <w:suff w:val="space"/>
      <w:lvlText w:val="%1.%2.%3.%4.%5.%6.%7.%8.%9"/>
      <w:lvlJc w:val="left"/>
      <w:pPr>
        <w:ind w:left="0" w:firstLine="0"/>
      </w:pPr>
      <w:rPr>
        <w:rFonts w:hint="eastAsia"/>
      </w:rPr>
    </w:lvl>
  </w:abstractNum>
  <w:abstractNum w:abstractNumId="17">
    <w:nsid w:val="6C400F5E"/>
    <w:multiLevelType w:val="multilevel"/>
    <w:tmpl w:val="6C400F5E"/>
    <w:lvl w:ilvl="0" w:tentative="0">
      <w:start w:val="1"/>
      <w:numFmt w:val="decimal"/>
      <w:suff w:val="space"/>
      <w:lvlText w:val="(%1)"/>
      <w:lvlJc w:val="left"/>
      <w:pPr>
        <w:ind w:left="420" w:hanging="420"/>
      </w:pPr>
      <w:rPr>
        <w:rFonts w:hint="eastAsia"/>
      </w:rPr>
    </w:lvl>
    <w:lvl w:ilvl="1" w:tentative="0">
      <w:start w:val="1"/>
      <w:numFmt w:val="lowerLetter"/>
      <w:lvlText w:val="%2)"/>
      <w:lvlJc w:val="left"/>
      <w:pPr>
        <w:ind w:left="1320" w:hanging="420"/>
      </w:pPr>
    </w:lvl>
    <w:lvl w:ilvl="2" w:tentative="0">
      <w:start w:val="1"/>
      <w:numFmt w:val="lowerRoman"/>
      <w:lvlText w:val="%3."/>
      <w:lvlJc w:val="right"/>
      <w:pPr>
        <w:ind w:left="1740" w:hanging="420"/>
      </w:pPr>
    </w:lvl>
    <w:lvl w:ilvl="3" w:tentative="0">
      <w:start w:val="1"/>
      <w:numFmt w:val="decimal"/>
      <w:lvlText w:val="%4."/>
      <w:lvlJc w:val="left"/>
      <w:pPr>
        <w:ind w:left="2160" w:hanging="420"/>
      </w:pPr>
    </w:lvl>
    <w:lvl w:ilvl="4" w:tentative="0">
      <w:start w:val="1"/>
      <w:numFmt w:val="lowerLetter"/>
      <w:lvlText w:val="%5)"/>
      <w:lvlJc w:val="left"/>
      <w:pPr>
        <w:ind w:left="2580" w:hanging="420"/>
      </w:pPr>
    </w:lvl>
    <w:lvl w:ilvl="5" w:tentative="0">
      <w:start w:val="1"/>
      <w:numFmt w:val="lowerRoman"/>
      <w:lvlText w:val="%6."/>
      <w:lvlJc w:val="right"/>
      <w:pPr>
        <w:ind w:left="3000" w:hanging="420"/>
      </w:pPr>
    </w:lvl>
    <w:lvl w:ilvl="6" w:tentative="0">
      <w:start w:val="1"/>
      <w:numFmt w:val="decimal"/>
      <w:lvlText w:val="%7."/>
      <w:lvlJc w:val="left"/>
      <w:pPr>
        <w:ind w:left="3420" w:hanging="420"/>
      </w:pPr>
    </w:lvl>
    <w:lvl w:ilvl="7" w:tentative="0">
      <w:start w:val="1"/>
      <w:numFmt w:val="lowerLetter"/>
      <w:lvlText w:val="%8)"/>
      <w:lvlJc w:val="left"/>
      <w:pPr>
        <w:ind w:left="3840" w:hanging="420"/>
      </w:pPr>
    </w:lvl>
    <w:lvl w:ilvl="8" w:tentative="0">
      <w:start w:val="1"/>
      <w:numFmt w:val="lowerRoman"/>
      <w:lvlText w:val="%9."/>
      <w:lvlJc w:val="right"/>
      <w:pPr>
        <w:ind w:left="4260" w:hanging="420"/>
      </w:pPr>
    </w:lvl>
  </w:abstractNum>
  <w:abstractNum w:abstractNumId="18">
    <w:nsid w:val="75B02F59"/>
    <w:multiLevelType w:val="multilevel"/>
    <w:tmpl w:val="75B02F59"/>
    <w:lvl w:ilvl="0" w:tentative="0">
      <w:start w:val="1"/>
      <w:numFmt w:val="decimal"/>
      <w:suff w:val="space"/>
      <w:lvlText w:val="(%1)"/>
      <w:lvlJc w:val="left"/>
      <w:pPr>
        <w:ind w:left="420" w:hanging="420"/>
      </w:pPr>
      <w:rPr>
        <w:rFonts w:hint="eastAsia"/>
      </w:rPr>
    </w:lvl>
    <w:lvl w:ilvl="1" w:tentative="0">
      <w:start w:val="1"/>
      <w:numFmt w:val="lowerLetter"/>
      <w:lvlText w:val="%2)"/>
      <w:lvlJc w:val="left"/>
      <w:pPr>
        <w:ind w:left="1320" w:hanging="420"/>
      </w:pPr>
    </w:lvl>
    <w:lvl w:ilvl="2" w:tentative="0">
      <w:start w:val="1"/>
      <w:numFmt w:val="lowerRoman"/>
      <w:lvlText w:val="%3."/>
      <w:lvlJc w:val="right"/>
      <w:pPr>
        <w:ind w:left="1740" w:hanging="420"/>
      </w:pPr>
    </w:lvl>
    <w:lvl w:ilvl="3" w:tentative="0">
      <w:start w:val="1"/>
      <w:numFmt w:val="decimal"/>
      <w:lvlText w:val="%4."/>
      <w:lvlJc w:val="left"/>
      <w:pPr>
        <w:ind w:left="2160" w:hanging="420"/>
      </w:pPr>
    </w:lvl>
    <w:lvl w:ilvl="4" w:tentative="0">
      <w:start w:val="1"/>
      <w:numFmt w:val="lowerLetter"/>
      <w:lvlText w:val="%5)"/>
      <w:lvlJc w:val="left"/>
      <w:pPr>
        <w:ind w:left="2580" w:hanging="420"/>
      </w:pPr>
    </w:lvl>
    <w:lvl w:ilvl="5" w:tentative="0">
      <w:start w:val="1"/>
      <w:numFmt w:val="lowerRoman"/>
      <w:lvlText w:val="%6."/>
      <w:lvlJc w:val="right"/>
      <w:pPr>
        <w:ind w:left="3000" w:hanging="420"/>
      </w:pPr>
    </w:lvl>
    <w:lvl w:ilvl="6" w:tentative="0">
      <w:start w:val="1"/>
      <w:numFmt w:val="decimal"/>
      <w:lvlText w:val="%7."/>
      <w:lvlJc w:val="left"/>
      <w:pPr>
        <w:ind w:left="3420" w:hanging="420"/>
      </w:pPr>
    </w:lvl>
    <w:lvl w:ilvl="7" w:tentative="0">
      <w:start w:val="1"/>
      <w:numFmt w:val="lowerLetter"/>
      <w:lvlText w:val="%8)"/>
      <w:lvlJc w:val="left"/>
      <w:pPr>
        <w:ind w:left="3840" w:hanging="420"/>
      </w:pPr>
    </w:lvl>
    <w:lvl w:ilvl="8" w:tentative="0">
      <w:start w:val="1"/>
      <w:numFmt w:val="lowerRoman"/>
      <w:lvlText w:val="%9."/>
      <w:lvlJc w:val="right"/>
      <w:pPr>
        <w:ind w:left="4260" w:hanging="420"/>
      </w:pPr>
    </w:lvl>
  </w:abstractNum>
  <w:abstractNum w:abstractNumId="19">
    <w:nsid w:val="79E76897"/>
    <w:multiLevelType w:val="multilevel"/>
    <w:tmpl w:val="79E76897"/>
    <w:lvl w:ilvl="0" w:tentative="0">
      <w:start w:val="1"/>
      <w:numFmt w:val="decimal"/>
      <w:suff w:val="space"/>
      <w:lvlText w:val="%1"/>
      <w:lvlJc w:val="left"/>
      <w:pPr>
        <w:ind w:left="0" w:firstLine="0"/>
      </w:pPr>
      <w:rPr>
        <w:rFonts w:hint="eastAsia"/>
      </w:rPr>
    </w:lvl>
    <w:lvl w:ilvl="1" w:tentative="0">
      <w:start w:val="1"/>
      <w:numFmt w:val="decimal"/>
      <w:suff w:val="space"/>
      <w:lvlText w:val="2.%2"/>
      <w:lvlJc w:val="left"/>
      <w:pPr>
        <w:ind w:left="0" w:firstLine="0"/>
      </w:pPr>
      <w:rPr>
        <w:rFonts w:hint="eastAsia"/>
      </w:rPr>
    </w:lvl>
    <w:lvl w:ilvl="2" w:tentative="0">
      <w:start w:val="1"/>
      <w:numFmt w:val="decimal"/>
      <w:suff w:val="space"/>
      <w:lvlText w:val="2.%2.%3"/>
      <w:lvlJc w:val="left"/>
      <w:pPr>
        <w:ind w:left="0" w:firstLine="0"/>
      </w:pPr>
      <w:rPr>
        <w:rFonts w:hint="eastAsia"/>
      </w:rPr>
    </w:lvl>
    <w:lvl w:ilvl="3" w:tentative="0">
      <w:start w:val="1"/>
      <w:numFmt w:val="decimal"/>
      <w:suff w:val="space"/>
      <w:lvlText w:val="%1.%2.%3.%4"/>
      <w:lvlJc w:val="left"/>
      <w:pPr>
        <w:ind w:left="0" w:firstLine="0"/>
      </w:pPr>
      <w:rPr>
        <w:rFonts w:hint="eastAsia"/>
      </w:rPr>
    </w:lvl>
    <w:lvl w:ilvl="4" w:tentative="0">
      <w:start w:val="1"/>
      <w:numFmt w:val="decimal"/>
      <w:suff w:val="space"/>
      <w:lvlText w:val="%1.%2.%3.%4.%5"/>
      <w:lvlJc w:val="left"/>
      <w:pPr>
        <w:ind w:left="0" w:firstLine="0"/>
      </w:pPr>
      <w:rPr>
        <w:rFonts w:hint="eastAsia"/>
      </w:rPr>
    </w:lvl>
    <w:lvl w:ilvl="5" w:tentative="0">
      <w:start w:val="1"/>
      <w:numFmt w:val="decimal"/>
      <w:suff w:val="space"/>
      <w:lvlText w:val="%1.%2.%3.%4.%5.%6"/>
      <w:lvlJc w:val="left"/>
      <w:pPr>
        <w:ind w:left="0" w:firstLine="0"/>
      </w:pPr>
      <w:rPr>
        <w:rFonts w:hint="eastAsia"/>
      </w:rPr>
    </w:lvl>
    <w:lvl w:ilvl="6" w:tentative="0">
      <w:start w:val="1"/>
      <w:numFmt w:val="decimal"/>
      <w:suff w:val="space"/>
      <w:lvlText w:val="%1.%2.%3.%4.%5.%6.%7"/>
      <w:lvlJc w:val="left"/>
      <w:pPr>
        <w:ind w:left="0" w:firstLine="0"/>
      </w:pPr>
      <w:rPr>
        <w:rFonts w:hint="eastAsia"/>
      </w:rPr>
    </w:lvl>
    <w:lvl w:ilvl="7" w:tentative="0">
      <w:start w:val="1"/>
      <w:numFmt w:val="decimal"/>
      <w:suff w:val="space"/>
      <w:lvlText w:val="%1.%2.%3.%4.%5.%6.%7.%8"/>
      <w:lvlJc w:val="left"/>
      <w:pPr>
        <w:ind w:left="0" w:firstLine="0"/>
      </w:pPr>
      <w:rPr>
        <w:rFonts w:hint="eastAsia"/>
      </w:rPr>
    </w:lvl>
    <w:lvl w:ilvl="8" w:tentative="0">
      <w:start w:val="1"/>
      <w:numFmt w:val="decimal"/>
      <w:suff w:val="space"/>
      <w:lvlText w:val="%1.%2.%3.%4.%5.%6.%7.%8.%9"/>
      <w:lvlJc w:val="left"/>
      <w:pPr>
        <w:ind w:left="0" w:firstLine="0"/>
      </w:pPr>
      <w:rPr>
        <w:rFonts w:hint="eastAsia"/>
      </w:rPr>
    </w:lvl>
  </w:abstractNum>
  <w:num w:numId="1">
    <w:abstractNumId w:val="12"/>
  </w:num>
  <w:num w:numId="2">
    <w:abstractNumId w:val="10"/>
  </w:num>
  <w:num w:numId="3">
    <w:abstractNumId w:val="8"/>
  </w:num>
  <w:num w:numId="4">
    <w:abstractNumId w:val="19"/>
  </w:num>
  <w:num w:numId="5">
    <w:abstractNumId w:val="15"/>
  </w:num>
  <w:num w:numId="6">
    <w:abstractNumId w:val="1"/>
  </w:num>
  <w:num w:numId="7">
    <w:abstractNumId w:val="16"/>
    <w:lvlOverride w:ilvl="0">
      <w:lvl w:ilvl="0" w:tentative="1">
        <w:start w:val="1"/>
        <w:numFmt w:val="decimal"/>
        <w:suff w:val="space"/>
        <w:lvlText w:val="%1"/>
        <w:lvlJc w:val="left"/>
        <w:pPr>
          <w:ind w:left="0" w:firstLine="0"/>
        </w:pPr>
        <w:rPr>
          <w:rFonts w:hint="eastAsia"/>
        </w:rPr>
      </w:lvl>
    </w:lvlOverride>
    <w:lvlOverride w:ilvl="1">
      <w:lvl w:ilvl="1" w:tentative="1">
        <w:start w:val="1"/>
        <w:numFmt w:val="decimal"/>
        <w:suff w:val="space"/>
        <w:lvlText w:val="3.%2"/>
        <w:lvlJc w:val="left"/>
        <w:pPr>
          <w:ind w:left="0" w:firstLine="0"/>
        </w:pPr>
        <w:rPr>
          <w:rFonts w:hint="eastAsia"/>
        </w:rPr>
      </w:lvl>
    </w:lvlOverride>
    <w:lvlOverride w:ilvl="2">
      <w:lvl w:ilvl="2" w:tentative="1">
        <w:start w:val="1"/>
        <w:numFmt w:val="decimal"/>
        <w:suff w:val="space"/>
        <w:lvlText w:val="%1.%2.%3"/>
        <w:lvlJc w:val="left"/>
        <w:pPr>
          <w:ind w:left="0" w:firstLine="0"/>
        </w:pPr>
        <w:rPr>
          <w:rFonts w:hint="eastAsia"/>
        </w:rPr>
      </w:lvl>
    </w:lvlOverride>
    <w:lvlOverride w:ilvl="3">
      <w:lvl w:ilvl="3" w:tentative="1">
        <w:start w:val="1"/>
        <w:numFmt w:val="decimal"/>
        <w:suff w:val="space"/>
        <w:lvlText w:val="%1.%2.%3.%4"/>
        <w:lvlJc w:val="left"/>
        <w:pPr>
          <w:ind w:left="0" w:firstLine="0"/>
        </w:pPr>
        <w:rPr>
          <w:rFonts w:hint="eastAsia"/>
        </w:rPr>
      </w:lvl>
    </w:lvlOverride>
    <w:lvlOverride w:ilvl="4">
      <w:lvl w:ilvl="4" w:tentative="1">
        <w:start w:val="1"/>
        <w:numFmt w:val="decimal"/>
        <w:suff w:val="space"/>
        <w:lvlText w:val="%1.%2.%3.%4.%5"/>
        <w:lvlJc w:val="left"/>
        <w:pPr>
          <w:ind w:left="0" w:firstLine="0"/>
        </w:pPr>
        <w:rPr>
          <w:rFonts w:hint="eastAsia"/>
        </w:rPr>
      </w:lvl>
    </w:lvlOverride>
    <w:lvlOverride w:ilvl="5">
      <w:lvl w:ilvl="5" w:tentative="1">
        <w:start w:val="1"/>
        <w:numFmt w:val="decimal"/>
        <w:suff w:val="space"/>
        <w:lvlText w:val="%1.%2.%3.%4.%5.%6"/>
        <w:lvlJc w:val="left"/>
        <w:pPr>
          <w:ind w:left="0" w:firstLine="0"/>
        </w:pPr>
        <w:rPr>
          <w:rFonts w:hint="eastAsia"/>
        </w:rPr>
      </w:lvl>
    </w:lvlOverride>
    <w:lvlOverride w:ilvl="6">
      <w:lvl w:ilvl="6" w:tentative="1">
        <w:start w:val="1"/>
        <w:numFmt w:val="decimal"/>
        <w:suff w:val="space"/>
        <w:lvlText w:val="%1.%2.%3.%4.%5.%6.%7"/>
        <w:lvlJc w:val="left"/>
        <w:pPr>
          <w:ind w:left="0" w:firstLine="0"/>
        </w:pPr>
        <w:rPr>
          <w:rFonts w:hint="eastAsia"/>
        </w:rPr>
      </w:lvl>
    </w:lvlOverride>
    <w:lvlOverride w:ilvl="7">
      <w:lvl w:ilvl="7" w:tentative="1">
        <w:start w:val="1"/>
        <w:numFmt w:val="decimal"/>
        <w:suff w:val="space"/>
        <w:lvlText w:val="%1.%2.%3.%4.%5.%6.%7.%8"/>
        <w:lvlJc w:val="left"/>
        <w:pPr>
          <w:ind w:left="0" w:firstLine="0"/>
        </w:pPr>
        <w:rPr>
          <w:rFonts w:hint="eastAsia"/>
        </w:rPr>
      </w:lvl>
    </w:lvlOverride>
    <w:lvlOverride w:ilvl="8">
      <w:lvl w:ilvl="8" w:tentative="1">
        <w:start w:val="1"/>
        <w:numFmt w:val="decimal"/>
        <w:suff w:val="space"/>
        <w:lvlText w:val="%1.%2.%3.%4.%5.%6.%7.%8.%9"/>
        <w:lvlJc w:val="left"/>
        <w:pPr>
          <w:ind w:left="0" w:firstLine="0"/>
        </w:pPr>
        <w:rPr>
          <w:rFonts w:hint="eastAsia"/>
        </w:rPr>
      </w:lvl>
    </w:lvlOverride>
  </w:num>
  <w:num w:numId="8">
    <w:abstractNumId w:val="3"/>
  </w:num>
  <w:num w:numId="9">
    <w:abstractNumId w:val="11"/>
  </w:num>
  <w:num w:numId="10">
    <w:abstractNumId w:val="4"/>
  </w:num>
  <w:num w:numId="11">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7"/>
    <w:lvlOverride w:ilvl="0">
      <w:lvl w:ilvl="0" w:tentative="1">
        <w:start w:val="1"/>
        <w:numFmt w:val="decimal"/>
        <w:suff w:val="space"/>
        <w:lvlText w:val="%1"/>
        <w:lvlJc w:val="left"/>
        <w:pPr>
          <w:ind w:left="0" w:firstLine="0"/>
        </w:pPr>
      </w:lvl>
    </w:lvlOverride>
    <w:lvlOverride w:ilvl="1">
      <w:lvl w:ilvl="1" w:tentative="1">
        <w:start w:val="1"/>
        <w:numFmt w:val="decimal"/>
        <w:suff w:val="space"/>
        <w:lvlText w:val="8.%2"/>
        <w:lvlJc w:val="left"/>
        <w:pPr>
          <w:ind w:left="0" w:firstLine="0"/>
        </w:pPr>
      </w:lvl>
    </w:lvlOverride>
    <w:lvlOverride w:ilvl="2">
      <w:lvl w:ilvl="2" w:tentative="1">
        <w:start w:val="1"/>
        <w:numFmt w:val="decimal"/>
        <w:suff w:val="space"/>
        <w:lvlText w:val="%1.%2.%3"/>
        <w:lvlJc w:val="left"/>
        <w:pPr>
          <w:ind w:left="0" w:firstLine="0"/>
        </w:pPr>
      </w:lvl>
    </w:lvlOverride>
    <w:lvlOverride w:ilvl="3">
      <w:lvl w:ilvl="3" w:tentative="1">
        <w:start w:val="1"/>
        <w:numFmt w:val="decimal"/>
        <w:suff w:val="space"/>
        <w:lvlText w:val="%1.%2.%3.%4"/>
        <w:lvlJc w:val="left"/>
        <w:pPr>
          <w:ind w:left="0" w:firstLine="0"/>
        </w:pPr>
      </w:lvl>
    </w:lvlOverride>
    <w:lvlOverride w:ilvl="4">
      <w:lvl w:ilvl="4" w:tentative="1">
        <w:start w:val="1"/>
        <w:numFmt w:val="decimal"/>
        <w:suff w:val="space"/>
        <w:lvlText w:val="%1.%2.%3.%4.%5"/>
        <w:lvlJc w:val="left"/>
        <w:pPr>
          <w:ind w:left="0" w:firstLine="0"/>
        </w:pPr>
      </w:lvl>
    </w:lvlOverride>
    <w:lvlOverride w:ilvl="5">
      <w:lvl w:ilvl="5" w:tentative="1">
        <w:start w:val="1"/>
        <w:numFmt w:val="decimal"/>
        <w:suff w:val="space"/>
        <w:lvlText w:val="%1.%2.%3.%4.%5.%6"/>
        <w:lvlJc w:val="left"/>
        <w:pPr>
          <w:ind w:left="0" w:firstLine="0"/>
        </w:pPr>
      </w:lvl>
    </w:lvlOverride>
    <w:lvlOverride w:ilvl="6">
      <w:lvl w:ilvl="6" w:tentative="1">
        <w:start w:val="1"/>
        <w:numFmt w:val="decimal"/>
        <w:suff w:val="space"/>
        <w:lvlText w:val="%1.%2.%3.%4.%5.%6.%7"/>
        <w:lvlJc w:val="left"/>
        <w:pPr>
          <w:ind w:left="0" w:firstLine="0"/>
        </w:pPr>
      </w:lvl>
    </w:lvlOverride>
    <w:lvlOverride w:ilvl="7">
      <w:lvl w:ilvl="7" w:tentative="1">
        <w:start w:val="1"/>
        <w:numFmt w:val="decimal"/>
        <w:suff w:val="space"/>
        <w:lvlText w:val="%1.%2.%3.%4.%5.%6.%7.%8"/>
        <w:lvlJc w:val="left"/>
        <w:pPr>
          <w:ind w:left="0" w:firstLine="0"/>
        </w:pPr>
      </w:lvl>
    </w:lvlOverride>
    <w:lvlOverride w:ilvl="8">
      <w:lvl w:ilvl="8" w:tentative="1">
        <w:start w:val="1"/>
        <w:numFmt w:val="decimal"/>
        <w:suff w:val="space"/>
        <w:lvlText w:val="%1.%2.%3.%4.%5.%6.%7.%8.%9"/>
        <w:lvlJc w:val="left"/>
        <w:pPr>
          <w:ind w:left="0" w:firstLine="0"/>
        </w:pPr>
      </w:lvl>
    </w:lvlOverride>
  </w:num>
  <w:num w:numId="16">
    <w:abstractNumId w:val="7"/>
    <w:lvlOverride w:ilvl="0">
      <w:lvl w:ilvl="0" w:tentative="1">
        <w:start w:val="1"/>
        <w:numFmt w:val="decimal"/>
        <w:suff w:val="space"/>
        <w:lvlText w:val="%1"/>
        <w:lvlJc w:val="left"/>
        <w:pPr>
          <w:ind w:left="0" w:firstLine="0"/>
        </w:pPr>
      </w:lvl>
    </w:lvlOverride>
    <w:lvlOverride w:ilvl="1">
      <w:lvl w:ilvl="1" w:tentative="1">
        <w:start w:val="1"/>
        <w:numFmt w:val="decimal"/>
        <w:suff w:val="space"/>
        <w:lvlText w:val="7.%2"/>
        <w:lvlJc w:val="left"/>
        <w:pPr>
          <w:ind w:left="0" w:firstLine="0"/>
        </w:pPr>
      </w:lvl>
    </w:lvlOverride>
    <w:lvlOverride w:ilvl="2">
      <w:lvl w:ilvl="2" w:tentative="1">
        <w:start w:val="1"/>
        <w:numFmt w:val="decimal"/>
        <w:suff w:val="space"/>
        <w:lvlText w:val="8.%2.%3"/>
        <w:lvlJc w:val="left"/>
        <w:pPr>
          <w:ind w:left="0" w:firstLine="0"/>
        </w:pPr>
      </w:lvl>
    </w:lvlOverride>
    <w:lvlOverride w:ilvl="3">
      <w:lvl w:ilvl="3" w:tentative="1">
        <w:start w:val="1"/>
        <w:numFmt w:val="decimal"/>
        <w:suff w:val="space"/>
        <w:lvlText w:val="%1.%2.%3.%4"/>
        <w:lvlJc w:val="left"/>
        <w:pPr>
          <w:ind w:left="0" w:firstLine="0"/>
        </w:pPr>
      </w:lvl>
    </w:lvlOverride>
    <w:lvlOverride w:ilvl="4">
      <w:lvl w:ilvl="4" w:tentative="1">
        <w:start w:val="1"/>
        <w:numFmt w:val="decimal"/>
        <w:suff w:val="space"/>
        <w:lvlText w:val="%1.%2.%3.%4.%5"/>
        <w:lvlJc w:val="left"/>
        <w:pPr>
          <w:ind w:left="0" w:firstLine="0"/>
        </w:pPr>
      </w:lvl>
    </w:lvlOverride>
    <w:lvlOverride w:ilvl="5">
      <w:lvl w:ilvl="5" w:tentative="1">
        <w:start w:val="1"/>
        <w:numFmt w:val="decimal"/>
        <w:suff w:val="space"/>
        <w:lvlText w:val="%1.%2.%3.%4.%5.%6"/>
        <w:lvlJc w:val="left"/>
        <w:pPr>
          <w:ind w:left="0" w:firstLine="0"/>
        </w:pPr>
      </w:lvl>
    </w:lvlOverride>
    <w:lvlOverride w:ilvl="6">
      <w:lvl w:ilvl="6" w:tentative="1">
        <w:start w:val="1"/>
        <w:numFmt w:val="decimal"/>
        <w:suff w:val="space"/>
        <w:lvlText w:val="%1.%2.%3.%4.%5.%6.%7"/>
        <w:lvlJc w:val="left"/>
        <w:pPr>
          <w:ind w:left="0" w:firstLine="0"/>
        </w:pPr>
      </w:lvl>
    </w:lvlOverride>
    <w:lvlOverride w:ilvl="7">
      <w:lvl w:ilvl="7" w:tentative="1">
        <w:start w:val="1"/>
        <w:numFmt w:val="decimal"/>
        <w:suff w:val="space"/>
        <w:lvlText w:val="%1.%2.%3.%4.%5.%6.%7.%8"/>
        <w:lvlJc w:val="left"/>
        <w:pPr>
          <w:ind w:left="0" w:firstLine="0"/>
        </w:pPr>
      </w:lvl>
    </w:lvlOverride>
    <w:lvlOverride w:ilvl="8">
      <w:lvl w:ilvl="8" w:tentative="1">
        <w:start w:val="1"/>
        <w:numFmt w:val="decimal"/>
        <w:suff w:val="space"/>
        <w:lvlText w:val="%1.%2.%3.%4.%5.%6.%7.%8.%9"/>
        <w:lvlJc w:val="left"/>
        <w:pPr>
          <w:ind w:left="0" w:firstLine="0"/>
        </w:pPr>
      </w:lvl>
    </w:lvlOverride>
  </w:num>
  <w:num w:numId="17">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1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ZmE3Yzc0NzEzODgzOGFkYzcwMmRjZWU3ZmU2MDExNGMifQ=="/>
  </w:docVars>
  <w:rsids>
    <w:rsidRoot w:val="00637EC6"/>
    <w:rsid w:val="000437EC"/>
    <w:rsid w:val="000444EA"/>
    <w:rsid w:val="00052E71"/>
    <w:rsid w:val="000613CD"/>
    <w:rsid w:val="00086EC2"/>
    <w:rsid w:val="0008744A"/>
    <w:rsid w:val="000918A8"/>
    <w:rsid w:val="0009232E"/>
    <w:rsid w:val="00096DF2"/>
    <w:rsid w:val="000A266E"/>
    <w:rsid w:val="000C591C"/>
    <w:rsid w:val="000C5AF4"/>
    <w:rsid w:val="000C5CDD"/>
    <w:rsid w:val="000D34D3"/>
    <w:rsid w:val="001100C1"/>
    <w:rsid w:val="001247C3"/>
    <w:rsid w:val="00160B3F"/>
    <w:rsid w:val="00173594"/>
    <w:rsid w:val="00184B9A"/>
    <w:rsid w:val="0019304B"/>
    <w:rsid w:val="001A3BB7"/>
    <w:rsid w:val="001B01BB"/>
    <w:rsid w:val="001C03C2"/>
    <w:rsid w:val="001C2697"/>
    <w:rsid w:val="001C30ED"/>
    <w:rsid w:val="001C6C55"/>
    <w:rsid w:val="001D09B3"/>
    <w:rsid w:val="001D1C3C"/>
    <w:rsid w:val="001D6EE6"/>
    <w:rsid w:val="001D74C9"/>
    <w:rsid w:val="0020421F"/>
    <w:rsid w:val="00234848"/>
    <w:rsid w:val="00243DEC"/>
    <w:rsid w:val="00253B97"/>
    <w:rsid w:val="0025576E"/>
    <w:rsid w:val="00263A58"/>
    <w:rsid w:val="00280739"/>
    <w:rsid w:val="0028305B"/>
    <w:rsid w:val="002838C4"/>
    <w:rsid w:val="002A08D0"/>
    <w:rsid w:val="002A2BE2"/>
    <w:rsid w:val="002B11DA"/>
    <w:rsid w:val="002C0914"/>
    <w:rsid w:val="002C0A8B"/>
    <w:rsid w:val="003165B6"/>
    <w:rsid w:val="003311E2"/>
    <w:rsid w:val="00347F74"/>
    <w:rsid w:val="00353FC4"/>
    <w:rsid w:val="003561CC"/>
    <w:rsid w:val="00356A9C"/>
    <w:rsid w:val="00357DC1"/>
    <w:rsid w:val="00365F70"/>
    <w:rsid w:val="00386EDD"/>
    <w:rsid w:val="00396C0F"/>
    <w:rsid w:val="003A4CB1"/>
    <w:rsid w:val="003C3167"/>
    <w:rsid w:val="003D0F22"/>
    <w:rsid w:val="003E15F0"/>
    <w:rsid w:val="003E16B1"/>
    <w:rsid w:val="003E5C71"/>
    <w:rsid w:val="0041014D"/>
    <w:rsid w:val="00435905"/>
    <w:rsid w:val="004539B5"/>
    <w:rsid w:val="00461AAC"/>
    <w:rsid w:val="00471EF4"/>
    <w:rsid w:val="00473788"/>
    <w:rsid w:val="00477807"/>
    <w:rsid w:val="00486BE8"/>
    <w:rsid w:val="004964AA"/>
    <w:rsid w:val="004A55A6"/>
    <w:rsid w:val="004D0F79"/>
    <w:rsid w:val="004D2113"/>
    <w:rsid w:val="004D588C"/>
    <w:rsid w:val="004F6E9E"/>
    <w:rsid w:val="005024F6"/>
    <w:rsid w:val="005043A2"/>
    <w:rsid w:val="0053194F"/>
    <w:rsid w:val="00540D80"/>
    <w:rsid w:val="005427F5"/>
    <w:rsid w:val="005434A8"/>
    <w:rsid w:val="00555D02"/>
    <w:rsid w:val="00564849"/>
    <w:rsid w:val="00565D97"/>
    <w:rsid w:val="0056637E"/>
    <w:rsid w:val="005835EF"/>
    <w:rsid w:val="005A151F"/>
    <w:rsid w:val="005A3BBF"/>
    <w:rsid w:val="005C56C1"/>
    <w:rsid w:val="005D4B59"/>
    <w:rsid w:val="005E2BEE"/>
    <w:rsid w:val="005E5C3F"/>
    <w:rsid w:val="00630C97"/>
    <w:rsid w:val="00635823"/>
    <w:rsid w:val="00637EC6"/>
    <w:rsid w:val="00643E2E"/>
    <w:rsid w:val="00652AFF"/>
    <w:rsid w:val="00671092"/>
    <w:rsid w:val="00674152"/>
    <w:rsid w:val="00676643"/>
    <w:rsid w:val="00676921"/>
    <w:rsid w:val="00676F67"/>
    <w:rsid w:val="00693619"/>
    <w:rsid w:val="006978A4"/>
    <w:rsid w:val="006A2F13"/>
    <w:rsid w:val="006A6914"/>
    <w:rsid w:val="006B493C"/>
    <w:rsid w:val="006D1EF1"/>
    <w:rsid w:val="006D280E"/>
    <w:rsid w:val="006F1672"/>
    <w:rsid w:val="00704483"/>
    <w:rsid w:val="0072324A"/>
    <w:rsid w:val="00760795"/>
    <w:rsid w:val="007637E8"/>
    <w:rsid w:val="00772A20"/>
    <w:rsid w:val="00793F25"/>
    <w:rsid w:val="007A4620"/>
    <w:rsid w:val="007A6956"/>
    <w:rsid w:val="007B120F"/>
    <w:rsid w:val="007D377C"/>
    <w:rsid w:val="007D6B27"/>
    <w:rsid w:val="0080256F"/>
    <w:rsid w:val="00830328"/>
    <w:rsid w:val="008323C4"/>
    <w:rsid w:val="00841405"/>
    <w:rsid w:val="00842748"/>
    <w:rsid w:val="00847C8F"/>
    <w:rsid w:val="00850B63"/>
    <w:rsid w:val="008606C9"/>
    <w:rsid w:val="00867EA6"/>
    <w:rsid w:val="00881F9E"/>
    <w:rsid w:val="00882F6D"/>
    <w:rsid w:val="008B1E9A"/>
    <w:rsid w:val="008B5D8F"/>
    <w:rsid w:val="008C418A"/>
    <w:rsid w:val="008C5BC6"/>
    <w:rsid w:val="008D7C66"/>
    <w:rsid w:val="008E1CC9"/>
    <w:rsid w:val="00926350"/>
    <w:rsid w:val="00932843"/>
    <w:rsid w:val="00941825"/>
    <w:rsid w:val="009531DF"/>
    <w:rsid w:val="00957D1F"/>
    <w:rsid w:val="009611BF"/>
    <w:rsid w:val="009735A8"/>
    <w:rsid w:val="0097675E"/>
    <w:rsid w:val="009808AB"/>
    <w:rsid w:val="00993955"/>
    <w:rsid w:val="009B0252"/>
    <w:rsid w:val="009B093E"/>
    <w:rsid w:val="009B42E2"/>
    <w:rsid w:val="009E188D"/>
    <w:rsid w:val="00A04572"/>
    <w:rsid w:val="00A220A4"/>
    <w:rsid w:val="00A220D4"/>
    <w:rsid w:val="00A24801"/>
    <w:rsid w:val="00A51731"/>
    <w:rsid w:val="00A6538F"/>
    <w:rsid w:val="00A765F3"/>
    <w:rsid w:val="00A7692E"/>
    <w:rsid w:val="00A96A59"/>
    <w:rsid w:val="00AA0381"/>
    <w:rsid w:val="00AB2C3B"/>
    <w:rsid w:val="00AB4FF5"/>
    <w:rsid w:val="00AB69F7"/>
    <w:rsid w:val="00AD5D72"/>
    <w:rsid w:val="00AF0855"/>
    <w:rsid w:val="00AF3125"/>
    <w:rsid w:val="00AF35FF"/>
    <w:rsid w:val="00B172BE"/>
    <w:rsid w:val="00B24471"/>
    <w:rsid w:val="00B33D7A"/>
    <w:rsid w:val="00B34C35"/>
    <w:rsid w:val="00B45C32"/>
    <w:rsid w:val="00B50CCB"/>
    <w:rsid w:val="00B54630"/>
    <w:rsid w:val="00B66D4F"/>
    <w:rsid w:val="00B814EB"/>
    <w:rsid w:val="00B81ADC"/>
    <w:rsid w:val="00BE1EC3"/>
    <w:rsid w:val="00BE328B"/>
    <w:rsid w:val="00BE575C"/>
    <w:rsid w:val="00BF00A3"/>
    <w:rsid w:val="00BF1B1A"/>
    <w:rsid w:val="00C048ED"/>
    <w:rsid w:val="00C16511"/>
    <w:rsid w:val="00C4637B"/>
    <w:rsid w:val="00C8128C"/>
    <w:rsid w:val="00C8378F"/>
    <w:rsid w:val="00C96FC4"/>
    <w:rsid w:val="00CA0AD4"/>
    <w:rsid w:val="00CB1C73"/>
    <w:rsid w:val="00CB6D78"/>
    <w:rsid w:val="00CF4F3C"/>
    <w:rsid w:val="00D0708F"/>
    <w:rsid w:val="00D16C5C"/>
    <w:rsid w:val="00D21AF7"/>
    <w:rsid w:val="00D251E9"/>
    <w:rsid w:val="00D44ADD"/>
    <w:rsid w:val="00D46FB7"/>
    <w:rsid w:val="00D6059A"/>
    <w:rsid w:val="00D647A2"/>
    <w:rsid w:val="00D76B24"/>
    <w:rsid w:val="00D92B82"/>
    <w:rsid w:val="00D96BA6"/>
    <w:rsid w:val="00DD21EE"/>
    <w:rsid w:val="00DD4C7E"/>
    <w:rsid w:val="00DE7882"/>
    <w:rsid w:val="00DF4D0D"/>
    <w:rsid w:val="00E01CE9"/>
    <w:rsid w:val="00E11361"/>
    <w:rsid w:val="00E2434C"/>
    <w:rsid w:val="00E40377"/>
    <w:rsid w:val="00E53EC1"/>
    <w:rsid w:val="00E8625D"/>
    <w:rsid w:val="00E93994"/>
    <w:rsid w:val="00EA5C35"/>
    <w:rsid w:val="00ED4A19"/>
    <w:rsid w:val="00EF55C4"/>
    <w:rsid w:val="00EF6460"/>
    <w:rsid w:val="00F0256E"/>
    <w:rsid w:val="00F11CFC"/>
    <w:rsid w:val="00F123B8"/>
    <w:rsid w:val="00F347A9"/>
    <w:rsid w:val="00F34E43"/>
    <w:rsid w:val="00F412CD"/>
    <w:rsid w:val="00F42009"/>
    <w:rsid w:val="00F5300A"/>
    <w:rsid w:val="00F543E4"/>
    <w:rsid w:val="00F62E15"/>
    <w:rsid w:val="00F702A7"/>
    <w:rsid w:val="00F728B0"/>
    <w:rsid w:val="00F77B3E"/>
    <w:rsid w:val="00F966E0"/>
    <w:rsid w:val="00FB1449"/>
    <w:rsid w:val="00FB5A0C"/>
    <w:rsid w:val="00FC4515"/>
    <w:rsid w:val="00FD3713"/>
    <w:rsid w:val="00FD4D92"/>
    <w:rsid w:val="00FE21F4"/>
    <w:rsid w:val="00FE35E3"/>
    <w:rsid w:val="00FE3A7C"/>
    <w:rsid w:val="00FF68DC"/>
    <w:rsid w:val="17D74D9D"/>
    <w:rsid w:val="1E5120C8"/>
    <w:rsid w:val="449D76C0"/>
    <w:rsid w:val="4BE0210D"/>
    <w:rsid w:val="61CA09C6"/>
    <w:rsid w:val="67ED6644"/>
    <w:rsid w:val="713B377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iPriority="39" w:semiHidden="0" w:name="toc 1"/>
    <w:lsdException w:qFormat="1" w:uiPriority="39" w:semiHidden="0"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semiHidden="0" w:name="Hyperlink"/>
    <w:lsdException w:uiPriority="99" w:name="FollowedHyperlink"/>
    <w:lsdException w:qFormat="1" w:unhideWhenUsed="0" w:uiPriority="22" w:semiHidden="0" w:name="Strong"/>
    <w:lsdException w:qFormat="1" w:unhideWhenUsed="0" w:uiPriority="20" w:semiHidden="0" w:name="Emphasis"/>
    <w:lsdException w:qFormat="1" w:unhideWhenUsed="0" w:uiPriority="0" w:semiHidden="0" w:name="Document Map"/>
    <w:lsdException w:uiPriority="99" w:name="Plain Text"/>
    <w:lsdException w:uiPriority="99" w:name="E-mail Signature"/>
    <w:lsdException w:qFormat="1"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qFormat="1"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2"/>
      <w:lang w:val="en-US" w:eastAsia="zh-CN" w:bidi="ar-SA"/>
    </w:rPr>
  </w:style>
  <w:style w:type="paragraph" w:styleId="2">
    <w:name w:val="heading 1"/>
    <w:basedOn w:val="1"/>
    <w:next w:val="1"/>
    <w:link w:val="19"/>
    <w:qFormat/>
    <w:uiPriority w:val="0"/>
    <w:pPr>
      <w:keepNext/>
      <w:keepLines/>
      <w:numPr>
        <w:ilvl w:val="0"/>
        <w:numId w:val="1"/>
      </w:numPr>
      <w:spacing w:before="340" w:after="330" w:line="578" w:lineRule="auto"/>
      <w:outlineLvl w:val="0"/>
    </w:pPr>
    <w:rPr>
      <w:rFonts w:ascii="Times New Roman" w:hAnsi="Times New Roman" w:eastAsia="宋体" w:cs="Times New Roman"/>
      <w:b/>
      <w:bCs/>
      <w:kern w:val="44"/>
      <w:sz w:val="44"/>
      <w:szCs w:val="44"/>
    </w:rPr>
  </w:style>
  <w:style w:type="paragraph" w:styleId="3">
    <w:name w:val="heading 2"/>
    <w:basedOn w:val="1"/>
    <w:next w:val="1"/>
    <w:link w:val="20"/>
    <w:qFormat/>
    <w:uiPriority w:val="0"/>
    <w:pPr>
      <w:keepNext/>
      <w:keepLines/>
      <w:numPr>
        <w:ilvl w:val="1"/>
        <w:numId w:val="2"/>
      </w:numPr>
      <w:tabs>
        <w:tab w:val="left" w:pos="576"/>
      </w:tabs>
      <w:spacing w:before="260" w:after="260" w:line="416" w:lineRule="auto"/>
      <w:outlineLvl w:val="1"/>
    </w:pPr>
    <w:rPr>
      <w:rFonts w:ascii="Arial" w:hAnsi="Arial" w:eastAsia="黑体" w:cs="Times New Roman"/>
      <w:b/>
      <w:bCs/>
      <w:sz w:val="32"/>
      <w:szCs w:val="32"/>
    </w:rPr>
  </w:style>
  <w:style w:type="paragraph" w:styleId="4">
    <w:name w:val="heading 3"/>
    <w:basedOn w:val="1"/>
    <w:next w:val="1"/>
    <w:link w:val="23"/>
    <w:semiHidden/>
    <w:unhideWhenUsed/>
    <w:qFormat/>
    <w:uiPriority w:val="9"/>
    <w:pPr>
      <w:keepNext/>
      <w:keepLines/>
      <w:spacing w:before="260" w:after="260" w:line="416" w:lineRule="auto"/>
      <w:outlineLvl w:val="2"/>
    </w:pPr>
    <w:rPr>
      <w:b/>
      <w:bCs/>
      <w:sz w:val="32"/>
      <w:szCs w:val="32"/>
    </w:rPr>
  </w:style>
  <w:style w:type="character" w:default="1" w:styleId="13">
    <w:name w:val="Default Paragraph Font"/>
    <w:semiHidden/>
    <w:unhideWhenUsed/>
    <w:qFormat/>
    <w:uiPriority w:val="1"/>
  </w:style>
  <w:style w:type="table" w:default="1" w:styleId="11">
    <w:name w:val="Normal Table"/>
    <w:semiHidden/>
    <w:unhideWhenUsed/>
    <w:qFormat/>
    <w:uiPriority w:val="99"/>
    <w:tblPr>
      <w:tblCellMar>
        <w:top w:w="0" w:type="dxa"/>
        <w:left w:w="108" w:type="dxa"/>
        <w:bottom w:w="0" w:type="dxa"/>
        <w:right w:w="108" w:type="dxa"/>
      </w:tblCellMar>
    </w:tblPr>
  </w:style>
  <w:style w:type="paragraph" w:styleId="5">
    <w:name w:val="Document Map"/>
    <w:basedOn w:val="1"/>
    <w:link w:val="21"/>
    <w:qFormat/>
    <w:uiPriority w:val="0"/>
    <w:pPr>
      <w:shd w:val="clear" w:color="auto" w:fill="000080"/>
    </w:pPr>
    <w:rPr>
      <w:rFonts w:ascii="Times New Roman" w:hAnsi="Times New Roman" w:eastAsia="宋体" w:cs="Times New Roman"/>
      <w:szCs w:val="20"/>
    </w:rPr>
  </w:style>
  <w:style w:type="paragraph" w:styleId="6">
    <w:name w:val="footer"/>
    <w:basedOn w:val="1"/>
    <w:link w:val="17"/>
    <w:unhideWhenUsed/>
    <w:qFormat/>
    <w:uiPriority w:val="99"/>
    <w:pPr>
      <w:tabs>
        <w:tab w:val="center" w:pos="4153"/>
        <w:tab w:val="right" w:pos="8306"/>
      </w:tabs>
      <w:snapToGrid w:val="0"/>
      <w:jc w:val="left"/>
    </w:pPr>
    <w:rPr>
      <w:sz w:val="18"/>
      <w:szCs w:val="18"/>
    </w:rPr>
  </w:style>
  <w:style w:type="paragraph" w:styleId="7">
    <w:name w:val="header"/>
    <w:basedOn w:val="1"/>
    <w:link w:val="16"/>
    <w:unhideWhenUsed/>
    <w:qFormat/>
    <w:uiPriority w:val="99"/>
    <w:pPr>
      <w:pBdr>
        <w:bottom w:val="single" w:color="auto" w:sz="6" w:space="1"/>
      </w:pBdr>
      <w:tabs>
        <w:tab w:val="center" w:pos="4153"/>
        <w:tab w:val="right" w:pos="8306"/>
      </w:tabs>
      <w:snapToGrid w:val="0"/>
      <w:jc w:val="center"/>
    </w:pPr>
    <w:rPr>
      <w:sz w:val="18"/>
      <w:szCs w:val="18"/>
    </w:rPr>
  </w:style>
  <w:style w:type="paragraph" w:styleId="8">
    <w:name w:val="toc 1"/>
    <w:basedOn w:val="1"/>
    <w:next w:val="1"/>
    <w:unhideWhenUsed/>
    <w:qFormat/>
    <w:uiPriority w:val="39"/>
  </w:style>
  <w:style w:type="paragraph" w:styleId="9">
    <w:name w:val="toc 2"/>
    <w:basedOn w:val="1"/>
    <w:next w:val="1"/>
    <w:unhideWhenUsed/>
    <w:qFormat/>
    <w:uiPriority w:val="39"/>
    <w:pPr>
      <w:ind w:left="420" w:leftChars="200"/>
    </w:pPr>
  </w:style>
  <w:style w:type="paragraph" w:styleId="10">
    <w:name w:val="Normal (Web)"/>
    <w:basedOn w:val="1"/>
    <w:semiHidden/>
    <w:unhideWhenUsed/>
    <w:qFormat/>
    <w:uiPriority w:val="99"/>
    <w:pPr>
      <w:widowControl/>
      <w:spacing w:before="100" w:beforeAutospacing="1" w:after="100" w:afterAutospacing="1"/>
      <w:jc w:val="left"/>
    </w:pPr>
    <w:rPr>
      <w:rFonts w:ascii="宋体" w:hAnsi="宋体" w:eastAsia="宋体" w:cs="宋体"/>
      <w:kern w:val="0"/>
      <w:sz w:val="24"/>
      <w:szCs w:val="24"/>
    </w:rPr>
  </w:style>
  <w:style w:type="table" w:styleId="12">
    <w:name w:val="Table Grid"/>
    <w:basedOn w:val="11"/>
    <w:qFormat/>
    <w:uiPriority w:val="3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14">
    <w:name w:val="Strong"/>
    <w:basedOn w:val="13"/>
    <w:qFormat/>
    <w:uiPriority w:val="22"/>
    <w:rPr>
      <w:b/>
      <w:bCs/>
    </w:rPr>
  </w:style>
  <w:style w:type="character" w:styleId="15">
    <w:name w:val="Hyperlink"/>
    <w:basedOn w:val="13"/>
    <w:unhideWhenUsed/>
    <w:qFormat/>
    <w:uiPriority w:val="99"/>
    <w:rPr>
      <w:color w:val="0563C1" w:themeColor="hyperlink"/>
      <w:u w:val="single"/>
      <w14:textFill>
        <w14:solidFill>
          <w14:schemeClr w14:val="hlink"/>
        </w14:solidFill>
      </w14:textFill>
    </w:rPr>
  </w:style>
  <w:style w:type="character" w:customStyle="1" w:styleId="16">
    <w:name w:val="页眉 字符"/>
    <w:basedOn w:val="13"/>
    <w:link w:val="7"/>
    <w:qFormat/>
    <w:uiPriority w:val="99"/>
    <w:rPr>
      <w:sz w:val="18"/>
      <w:szCs w:val="18"/>
    </w:rPr>
  </w:style>
  <w:style w:type="character" w:customStyle="1" w:styleId="17">
    <w:name w:val="页脚 字符"/>
    <w:basedOn w:val="13"/>
    <w:link w:val="6"/>
    <w:qFormat/>
    <w:uiPriority w:val="99"/>
    <w:rPr>
      <w:sz w:val="18"/>
      <w:szCs w:val="18"/>
    </w:rPr>
  </w:style>
  <w:style w:type="paragraph" w:styleId="18">
    <w:name w:val="List Paragraph"/>
    <w:basedOn w:val="1"/>
    <w:qFormat/>
    <w:uiPriority w:val="34"/>
    <w:pPr>
      <w:ind w:firstLine="420" w:firstLineChars="200"/>
    </w:pPr>
  </w:style>
  <w:style w:type="character" w:customStyle="1" w:styleId="19">
    <w:name w:val="标题 1 字符"/>
    <w:basedOn w:val="13"/>
    <w:link w:val="2"/>
    <w:qFormat/>
    <w:uiPriority w:val="0"/>
    <w:rPr>
      <w:rFonts w:ascii="Times New Roman" w:hAnsi="Times New Roman" w:eastAsia="宋体" w:cs="Times New Roman"/>
      <w:b/>
      <w:bCs/>
      <w:kern w:val="44"/>
      <w:sz w:val="44"/>
      <w:szCs w:val="44"/>
    </w:rPr>
  </w:style>
  <w:style w:type="character" w:customStyle="1" w:styleId="20">
    <w:name w:val="标题 2 字符"/>
    <w:basedOn w:val="13"/>
    <w:link w:val="3"/>
    <w:qFormat/>
    <w:uiPriority w:val="0"/>
    <w:rPr>
      <w:rFonts w:ascii="Arial" w:hAnsi="Arial" w:eastAsia="黑体" w:cs="Times New Roman"/>
      <w:b/>
      <w:bCs/>
      <w:sz w:val="32"/>
      <w:szCs w:val="32"/>
    </w:rPr>
  </w:style>
  <w:style w:type="character" w:customStyle="1" w:styleId="21">
    <w:name w:val="文档结构图 字符"/>
    <w:basedOn w:val="13"/>
    <w:link w:val="5"/>
    <w:qFormat/>
    <w:uiPriority w:val="0"/>
    <w:rPr>
      <w:rFonts w:ascii="Times New Roman" w:hAnsi="Times New Roman" w:eastAsia="宋体" w:cs="Times New Roman"/>
      <w:szCs w:val="20"/>
      <w:shd w:val="clear" w:color="auto" w:fill="000080"/>
    </w:rPr>
  </w:style>
  <w:style w:type="paragraph" w:customStyle="1" w:styleId="22">
    <w:name w:val="TOC 标题1"/>
    <w:basedOn w:val="2"/>
    <w:next w:val="1"/>
    <w:unhideWhenUsed/>
    <w:qFormat/>
    <w:uiPriority w:val="39"/>
    <w:pPr>
      <w:widowControl/>
      <w:numPr>
        <w:numId w:val="0"/>
      </w:numPr>
      <w:spacing w:before="240" w:after="0" w:line="259" w:lineRule="auto"/>
      <w:jc w:val="left"/>
      <w:outlineLvl w:val="9"/>
    </w:pPr>
    <w:rPr>
      <w:rFonts w:asciiTheme="majorHAnsi" w:hAnsiTheme="majorHAnsi" w:eastAsiaTheme="majorEastAsia" w:cstheme="majorBidi"/>
      <w:b w:val="0"/>
      <w:bCs w:val="0"/>
      <w:color w:val="2E75B6" w:themeColor="accent1" w:themeShade="BF"/>
      <w:kern w:val="0"/>
      <w:sz w:val="32"/>
      <w:szCs w:val="32"/>
    </w:rPr>
  </w:style>
  <w:style w:type="character" w:customStyle="1" w:styleId="23">
    <w:name w:val="标题 3 字符"/>
    <w:basedOn w:val="13"/>
    <w:link w:val="4"/>
    <w:semiHidden/>
    <w:qFormat/>
    <w:uiPriority w:val="9"/>
    <w:rPr>
      <w:b/>
      <w:bCs/>
      <w:sz w:val="32"/>
      <w:szCs w:val="32"/>
    </w:rPr>
  </w:style>
  <w:style w:type="paragraph" w:customStyle="1" w:styleId="24">
    <w:name w:val="列出段落1"/>
    <w:basedOn w:val="1"/>
    <w:link w:val="28"/>
    <w:qFormat/>
    <w:uiPriority w:val="34"/>
    <w:pPr>
      <w:ind w:firstLine="420" w:firstLineChars="200"/>
    </w:pPr>
    <w:rPr>
      <w:rFonts w:ascii="Calibri" w:hAnsi="Calibri" w:eastAsia="宋体" w:cs="Times New Roman"/>
    </w:rPr>
  </w:style>
  <w:style w:type="paragraph" w:customStyle="1" w:styleId="25">
    <w:name w:val="M图标题"/>
    <w:next w:val="1"/>
    <w:qFormat/>
    <w:uiPriority w:val="0"/>
    <w:pPr>
      <w:numPr>
        <w:ilvl w:val="8"/>
        <w:numId w:val="3"/>
      </w:numPr>
      <w:adjustRightInd w:val="0"/>
      <w:snapToGrid w:val="0"/>
      <w:spacing w:before="163" w:beforeLines="50" w:line="360" w:lineRule="auto"/>
      <w:jc w:val="center"/>
    </w:pPr>
    <w:rPr>
      <w:rFonts w:asciiTheme="minorHAnsi" w:hAnsiTheme="minorHAnsi" w:eastAsiaTheme="minorEastAsia" w:cstheme="minorBidi"/>
      <w:b/>
      <w:bCs/>
      <w:kern w:val="2"/>
      <w:sz w:val="24"/>
      <w:szCs w:val="24"/>
      <w:lang w:val="en-US" w:eastAsia="zh-CN" w:bidi="ar-SA"/>
    </w:rPr>
  </w:style>
  <w:style w:type="character" w:customStyle="1" w:styleId="26">
    <w:name w:val="+正文 Char5"/>
    <w:link w:val="27"/>
    <w:qFormat/>
    <w:uiPriority w:val="0"/>
    <w:rPr>
      <w:sz w:val="24"/>
      <w:szCs w:val="28"/>
    </w:rPr>
  </w:style>
  <w:style w:type="paragraph" w:customStyle="1" w:styleId="27">
    <w:name w:val="+正文"/>
    <w:basedOn w:val="1"/>
    <w:link w:val="26"/>
    <w:qFormat/>
    <w:uiPriority w:val="0"/>
    <w:pPr>
      <w:spacing w:line="360" w:lineRule="auto"/>
      <w:ind w:firstLine="200" w:firstLineChars="200"/>
      <w:jc w:val="left"/>
    </w:pPr>
    <w:rPr>
      <w:sz w:val="24"/>
      <w:szCs w:val="28"/>
    </w:rPr>
  </w:style>
  <w:style w:type="character" w:customStyle="1" w:styleId="28">
    <w:name w:val="列出段落 Char"/>
    <w:link w:val="24"/>
    <w:qFormat/>
    <w:locked/>
    <w:uiPriority w:val="34"/>
    <w:rPr>
      <w:rFonts w:ascii="Calibri" w:hAnsi="Calibri" w:eastAsia="宋体" w:cs="Times New Roman"/>
      <w:kern w:val="2"/>
      <w:sz w:val="21"/>
      <w:szCs w:val="22"/>
    </w:rPr>
  </w:style>
</w:styles>
</file>

<file path=word/_rels/document.xml.rels><?xml version="1.0" encoding="UTF-8" standalone="yes"?>
<Relationships xmlns="http://schemas.openxmlformats.org/package/2006/relationships"><Relationship Id="rId9" Type="http://schemas.openxmlformats.org/officeDocument/2006/relationships/image" Target="media/image5.png"/><Relationship Id="rId8" Type="http://schemas.openxmlformats.org/officeDocument/2006/relationships/image" Target="media/image4.png"/><Relationship Id="rId7" Type="http://schemas.openxmlformats.org/officeDocument/2006/relationships/image" Target="media/image3.png"/><Relationship Id="rId6" Type="http://schemas.openxmlformats.org/officeDocument/2006/relationships/image" Target="media/image2.png"/><Relationship Id="rId5" Type="http://schemas.openxmlformats.org/officeDocument/2006/relationships/image" Target="media/image1.png"/><Relationship Id="rId4" Type="http://schemas.openxmlformats.org/officeDocument/2006/relationships/theme" Target="theme/theme1.xml"/><Relationship Id="rId3" Type="http://schemas.openxmlformats.org/officeDocument/2006/relationships/footer" Target="footer1.xml"/><Relationship Id="rId2" Type="http://schemas.openxmlformats.org/officeDocument/2006/relationships/settings" Target="settings.xml"/><Relationship Id="rId12" Type="http://schemas.openxmlformats.org/officeDocument/2006/relationships/fontTable" Target="fontTable.xml"/><Relationship Id="rId11" Type="http://schemas.openxmlformats.org/officeDocument/2006/relationships/customXml" Target="../customXml/item1.xml"/><Relationship Id="rId10" Type="http://schemas.openxmlformats.org/officeDocument/2006/relationships/numbering" Target="numbering.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D65DE39-CEB9-4729-952D-E9E1DA9DED69}">
  <ds:schemaRefs/>
</ds:datastoreItem>
</file>

<file path=docProps/app.xml><?xml version="1.0" encoding="utf-8"?>
<Properties xmlns="http://schemas.openxmlformats.org/officeDocument/2006/extended-properties" xmlns:vt="http://schemas.openxmlformats.org/officeDocument/2006/docPropsVTypes">
  <Template>Normal.dotm</Template>
  <Company>Microsoft</Company>
  <Pages>11</Pages>
  <Words>4947</Words>
  <Characters>5207</Characters>
  <Lines>46</Lines>
  <Paragraphs>13</Paragraphs>
  <TotalTime>384</TotalTime>
  <ScaleCrop>false</ScaleCrop>
  <LinksUpToDate>false</LinksUpToDate>
  <CharactersWithSpaces>5319</CharactersWithSpaces>
  <Application>WPS Office_12.1.0.25225_F1E327BC-269C-435d-A152-05C5408002CA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2023-06-20T03:36:00Z</dcterms:created>
  <dc:creator>AutoBVT</dc:creator>
  <cp:lastModifiedBy>黄德东</cp:lastModifiedBy>
  <dcterms:modified xsi:type="dcterms:W3CDTF">2026-03-09T01:21:37Z</dcterms:modified>
  <cp:revision>188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2052-12.1.0.25225</vt:lpwstr>
  </property>
  <property fmtid="{D5CDD505-2E9C-101B-9397-08002B2CF9AE}" pid="3" name="ICV">
    <vt:lpwstr>480180156F664592BE72F37030938C19</vt:lpwstr>
  </property>
  <property fmtid="{D5CDD505-2E9C-101B-9397-08002B2CF9AE}" pid="4" name="KSOTemplateDocerSaveRecord">
    <vt:lpwstr>eyJoZGlkIjoiZmE3Yzc0NzEzODgzOGFkYzcwMmRjZWU3ZmU2MDExNGMiLCJ1c2VySWQiOiIxNDAyMzM4NTY2In0=</vt:lpwstr>
  </property>
</Properties>
</file>